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bookmarkStart w:id="79" w:name="SYNC_EN_metadata_title"/>
      <w:r>
        <w:rPr>
          <w:rFonts w:ascii="Times New Roman" w:hAnsi="Times New Roman"/>
          <w:sz w:val="48"/>
        </w:rPr>
        <w:t>Recommendation Supervision Semantics and Exposure-Aware Evaluation for Recommendation-Tuned LLMs</w:t>
      </w:r>
      <w:bookmarkEnd w:id="79"/>
    </w:p>
    <w:p>
      <w:pPr>
        <w:spacing w:after="120" w:before="160"/>
        <w:jc w:val="center"/>
      </w:pPr>
      <w:bookmarkStart w:id="80" w:name="SYNC_EN_metadata_author"/>
      <w:r>
        <w:rPr>
          <w:rFonts w:ascii="Times New Roman" w:hAnsi="Times New Roman"/>
          <w:sz w:val="22"/>
        </w:rPr>
        <w:t>AUTHOR INFORMATION REQUIRED</w:t>
      </w:r>
      <w:bookmarkEnd w:id="80"/>
    </w:p>
    <w:p>
      <w:pPr>
        <w:spacing w:after="160" w:line="240" w:lineRule="auto"/>
        <w:ind w:firstLine="274"/>
        <w:jc w:val="both"/>
      </w:pPr>
      <w:bookmarkStart w:id="1" w:name="SYNC_EN_abstract_p01"/>
      <w:r>
        <w:rPr>
          <w:rFonts w:ascii="Times New Roman" w:hAnsi="Times New Roman"/>
          <w:sz w:val="18"/>
        </w:rPr>
      </w:r>
      <w:r>
        <w:rPr>
          <w:rFonts w:ascii="Times New Roman" w:hAnsi="Times New Roman"/>
          <w:b/>
          <w:sz w:val="18"/>
        </w:rPr>
        <w:t>Abstract—</w:t>
      </w:r>
      <w:r>
        <w:rPr>
          <w:rFonts w:ascii="Times New Roman" w:hAnsi="Times New Roman"/>
          <w:sz w:val="18"/>
        </w:rPr>
        <w:t>Empirical conclusions about large language models (LLMs) for recommendation can depend on what is supervised, how much downstream supervision a model consumes, and how candidates are evaluated. We study these dependencies using Llama-3.2-3B-Instruct with QLoRA, taking MovieLens-1M as the main dataset and Amazon Musical Instruments as a directional ranking-side check. We compare rating-derived preference prediction (Y), next-interaction prediction (N), and a shared Y+N multitask adapter (M1), trace task-sample exposure, evaluate alternative candidate protocols, and compare N-trained LlamaRec with SASRec at approximately matched downstream exposures. The complete Y and N formulations yield distinct measured capability profiles. In the MovieLens seed42 trajectory, Y’s measured gains through 96k are limited or uneven, whereas N ranking improves across measured validation and test points through 200k. On a common cross-task-safe subset, the standard-k5 N-specialist-M1 validation gap narrows from 48k to 96k per task across all three metrics, although test does not reproduce the narrowing. At 96k, three training seeds retain a small but consistently positive N advantage, while M1 preserves comparable Y-side preference capability. Alternative candidate protocols materially change the remaining specialist-multitask gap. N-trained LlamaRec leads the evaluated SASRec baseline at four approximately matched downstream task-sample exposure points, but SASRec improves strongly and the gap narrows at 200k. Safe ranking directions also appear on Amazon at earlier seed42 operating points. These results show that recommendation capability and relative model performance are conditional on prediction formulation, cumulative downstream exposure, and candidate evaluation protocol.</w:t>
      </w:r>
      <w:bookmarkEnd w:id="1"/>
    </w:p>
    <w:p>
      <w:pPr>
        <w:spacing w:after="120" w:line="240" w:lineRule="auto"/>
        <w:ind w:firstLine="274"/>
        <w:jc w:val="both"/>
      </w:pPr>
      <w:bookmarkStart w:id="81" w:name="SYNC_EN_metadata_keywords"/>
      <w:r>
        <w:rPr>
          <w:rFonts w:ascii="Times New Roman" w:hAnsi="Times New Roman"/>
          <w:i w:val="0"/>
          <w:sz w:val="18"/>
        </w:rPr>
      </w:r>
      <w:r>
        <w:rPr>
          <w:rFonts w:ascii="Times New Roman" w:hAnsi="Times New Roman"/>
          <w:i/>
          <w:sz w:val="18"/>
        </w:rPr>
        <w:t>Index Terms—</w:t>
      </w:r>
      <w:r>
        <w:rPr>
          <w:rFonts w:ascii="Times New Roman" w:hAnsi="Times New Roman"/>
          <w:sz w:val="18"/>
        </w:rPr>
        <w:t>Large language model recommendation, Recommendation supervision, Sequential recommendation, Multitask learning, Task-sample exposure</w:t>
      </w:r>
      <w:bookmarkEnd w:id="81"/>
    </w:p>
    <w:p>
      <w:pPr>
        <w:sectPr>
          <w:footerReference w:type="default" r:id="rId11"/>
          <w:pgSz w:w="12240" w:h="15840"/>
          <w:pgMar w:top="1080" w:right="893" w:bottom="1440" w:left="893" w:header="720" w:footer="720" w:gutter="0"/>
          <w:cols w:num="1"/>
          <w:docGrid w:linePitch="360"/>
        </w:sectPr>
      </w:pPr>
    </w:p>
    <w:p>
      <w:pPr>
        <w:keepNext/>
        <w:spacing w:before="160" w:after="80"/>
        <w:jc w:val="center"/>
      </w:pPr>
      <w:bookmarkStart w:id="82" w:name="SYNC_EN_heading_1"/>
      <w:r>
        <w:rPr>
          <w:rFonts w:ascii="Times New Roman" w:hAnsi="Times New Roman"/>
          <w:b w:val="0"/>
          <w:sz w:val="20"/>
        </w:rPr>
        <w:t>I. INTRODUCTION</w:t>
      </w:r>
      <w:bookmarkEnd w:id="82"/>
    </w:p>
    <w:p>
      <w:pPr>
        <w:spacing w:before="0" w:after="70" w:line="228" w:lineRule="auto"/>
        <w:ind w:firstLine="288"/>
        <w:jc w:val="both"/>
      </w:pPr>
      <w:bookmarkStart w:id="2" w:name="SYNC_EN_intro_p01"/>
      <w:r>
        <w:rPr>
          <w:rFonts w:ascii="Times New Roman" w:hAnsi="Times New Roman"/>
          <w:sz w:val="20"/>
        </w:rPr>
        <w:t>Language-model-based recommendation spans zero-shot conversation, candidate ranking, and recommendation-specific adaptation [1]–[3]. Recommendation-as-language-processing further offers a shared language interface for model inputs and predictions [4]. Because language models can interact, rank, or adapt to a task, interpreting what recommendation-specific supervision teaches them is a central empirical problem [5].</w:t>
      </w:r>
      <w:bookmarkEnd w:id="2"/>
    </w:p>
    <w:p>
      <w:pPr>
        <w:spacing w:before="0" w:after="70" w:line="228" w:lineRule="auto"/>
        <w:ind w:firstLine="288"/>
        <w:jc w:val="both"/>
      </w:pPr>
      <w:bookmarkStart w:id="3" w:name="SYNC_EN_intro_p02"/>
      <w:r>
        <w:rPr>
          <w:rFonts w:ascii="Times New Roman" w:hAnsi="Times New Roman"/>
          <w:sz w:val="20"/>
        </w:rPr>
        <w:t>Recommendation includes different prediction questions. Whether a user likes an item is a preference judgment; which item appears next is a subsequent-event prediction. Feedback and sequential models operationalize different targets, while language frameworks can express both through a common interface [4], [6], [7]. For an adapted model, task data, prompt, target, and scoring interface jointly define the complete supervision formulation and the capability observed.</w:t>
      </w:r>
      <w:bookmarkEnd w:id="3"/>
    </w:p>
    <w:p>
      <w:pPr>
        <w:spacing w:before="0" w:after="70" w:line="228" w:lineRule="auto"/>
        <w:ind w:firstLine="288"/>
        <w:jc w:val="both"/>
      </w:pPr>
      <w:bookmarkStart w:id="4" w:name="SYNC_EN_intro_p03"/>
      <w:r>
        <w:rPr>
          <w:rFonts w:ascii="Times New Roman" w:hAnsi="Times New Roman"/>
          <w:sz w:val="20"/>
        </w:rPr>
        <w:t>A checkpoint also represents a specific amount of adaptation. We define task-sample exposure as the cumulative number of examples consumed for a task, including repetitions. Unified recommendation studies already examine task performance and changes in data amount or composition [4], [8]. Our complementary question is how specialist-shared relationships evolve as the corresponding task receives more cumulative supervision, with total and per-task exposure separated for mixed-task training.</w:t>
      </w:r>
      <w:bookmarkEnd w:id="4"/>
    </w:p>
    <w:p>
      <w:pPr>
        <w:spacing w:before="0" w:after="70" w:line="228" w:lineRule="auto"/>
        <w:ind w:firstLine="288"/>
        <w:jc w:val="both"/>
      </w:pPr>
      <w:bookmarkStart w:id="5" w:name="SYNC_EN_intro_p04"/>
      <w:r>
        <w:rPr>
          <w:rFonts w:ascii="Times New Roman" w:hAnsi="Times New Roman"/>
          <w:sz w:val="20"/>
        </w:rPr>
        <w:t>Evaluation conditions add another boundary. Sampled metrics, sampling strategies, and candidate construction can change measured performance and model orderings [9]–[11]. Task formulation and data allocation likewise intersect in unified recommendation and shared search-recommendation models [4], [8], [12], [13]. These precedents motivate jointly examining cumulative per-task supervision, specialist-shared modeling, and candidate protocol without treating any one as an isolated cause.</w:t>
      </w:r>
      <w:bookmarkEnd w:id="5"/>
    </w:p>
    <w:p>
      <w:pPr>
        <w:spacing w:before="0" w:after="70" w:line="228" w:lineRule="auto"/>
        <w:ind w:firstLine="288"/>
        <w:jc w:val="both"/>
      </w:pPr>
      <w:bookmarkStart w:id="6" w:name="SYNC_EN_intro_p05"/>
      <w:r>
        <w:rPr>
          <w:rFonts w:ascii="Times New Roman" w:hAnsi="Times New Roman"/>
          <w:sz w:val="20"/>
        </w:rPr>
        <w:t>We conduct a controlled study with rating-derived preference supervision (Y), next-interaction supervision (N), and one shared Y+N adapter (M1). We trace task-specific exposure, compare specialists with M1 at matched per-task exposure, test alternative candidate protocols, and compare N-trained LlamaRec with SASRec at approximately matched downstream supervision. MovieLens supplies detailed trajectories; Amazon Musical Instruments provides an external ranking-side check.</w:t>
      </w:r>
      <w:bookmarkEnd w:id="6"/>
    </w:p>
    <w:p>
      <w:pPr>
        <w:spacing w:before="0" w:after="70" w:line="228" w:lineRule="auto"/>
        <w:ind w:firstLine="288"/>
        <w:jc w:val="both"/>
      </w:pPr>
      <w:bookmarkStart w:id="7" w:name="SYNC_EN_intro_p06"/>
      <w:r>
        <w:rPr>
          <w:rFonts w:ascii="Times New Roman" w:hAnsi="Times New Roman"/>
          <w:sz w:val="20"/>
        </w:rPr>
        <w:t>The complete Y and N formulations produce distinct measured capability profiles. In the seed42 MovieLens trajectory, Y gains are limited or uneven, whereas N improves through the evaluated range. On a common cross-task-safe subset, the standard-k5 validation specialist-M1 gap narrows from 48k to 96k per task across all three metrics; two additional seeds reproduce a small positive N advantage at 96k, but the common seed42 test subset does not reproduce the narrowing. Alternative protocols retain an N advantage with protocol-dependent magnitude. Ntrained LlamaRec leads SASRec at four approximately matched exposure points, while SASRec improves and the gap narrows at 200k. Amazon supports safe earlier-point ranking directions only.</w:t>
      </w:r>
      <w:bookmarkEnd w:id="7"/>
    </w:p>
    <w:p>
      <w:pPr>
        <w:spacing w:before="0" w:after="70" w:line="228" w:lineRule="auto"/>
        <w:ind w:firstLine="288"/>
        <w:jc w:val="both"/>
      </w:pPr>
      <w:bookmarkStart w:id="8" w:name="SYNC_EN_intro_p07"/>
      <w:r>
        <w:rPr>
          <w:rFonts w:ascii="Times New Roman" w:hAnsi="Times New Roman"/>
          <w:sz w:val="20"/>
        </w:rPr>
        <w:t>Our primary contribution is an exposure-conditioned account of specialist-shared modeling. The secondary contribution is a four-point cumulative downstream-exposure comparison between the LLM and a sequential baseline. Candidate-protocol analysis supplies a supporting boundary, while supervision-formulation distinctions frame the capabilities being compared. Together, they show that conclusions depend on what is supervised, how much task supervision is consumed, and how candidates are evaluated.</w:t>
      </w:r>
      <w:bookmarkEnd w:id="8"/>
    </w:p>
    <w:p>
      <w:pPr>
        <w:keepNext/>
        <w:spacing w:before="160" w:after="80"/>
        <w:jc w:val="center"/>
      </w:pPr>
      <w:bookmarkStart w:id="83" w:name="SYNC_EN_heading_2"/>
      <w:r>
        <w:rPr>
          <w:rFonts w:ascii="Times New Roman" w:hAnsi="Times New Roman"/>
          <w:b w:val="0"/>
          <w:sz w:val="20"/>
        </w:rPr>
        <w:t>II. RELATED WORK</w:t>
      </w:r>
      <w:bookmarkEnd w:id="83"/>
    </w:p>
    <w:p>
      <w:pPr>
        <w:keepNext/>
        <w:spacing w:before="120" w:after="60"/>
        <w:jc w:val="left"/>
      </w:pPr>
      <w:r>
        <w:rPr>
          <w:rFonts w:ascii="Times New Roman" w:hAnsi="Times New Roman"/>
          <w:i/>
          <w:sz w:val="20"/>
        </w:rPr>
        <w:t>A. LLMs for Recommendation</w:t>
      </w:r>
    </w:p>
    <w:p>
      <w:pPr>
        <w:spacing w:before="0" w:after="70" w:line="228" w:lineRule="auto"/>
        <w:ind w:firstLine="288"/>
        <w:jc w:val="both"/>
      </w:pPr>
      <w:bookmarkStart w:id="9" w:name="SYNC_EN_rw_llm_p01"/>
      <w:r>
        <w:rPr>
          <w:rFonts w:ascii="Times New Roman" w:hAnsi="Times New Roman"/>
          <w:sz w:val="20"/>
        </w:rPr>
        <w:t>Prompt-based recommendation places language models directly in recommendation requests. Zero-shot conversational recommendation and zero-shot ranking emphasize different outputs: interaction and item ordering [1], [2]. Within the broader LLM-recommender literature [5], this diversity makes the requested output part of what an evaluation measures and motivates task-specific capability claims.</w:t>
      </w:r>
      <w:bookmarkEnd w:id="9"/>
    </w:p>
    <w:p>
      <w:pPr>
        <w:spacing w:before="0" w:after="70" w:line="228" w:lineRule="auto"/>
        <w:ind w:firstLine="288"/>
        <w:jc w:val="both"/>
      </w:pPr>
      <w:bookmarkStart w:id="10" w:name="SYNC_EN_rw_llm_p02"/>
      <w:r>
        <w:rPr>
          <w:rFonts w:ascii="Times New Roman" w:hAnsi="Times New Roman"/>
          <w:sz w:val="20"/>
        </w:rPr>
        <w:t>Recommendation-specific adaptation makes the training interface part of the model’s role. P5 expresses multiple task families as language pairs, TALLRec trains Yes/No recommendation responses, and InstructRec supports pointwise, pairwise, matching, and reranking requests [3], [4], [14]. These precedents establish language-based adaptation across tasks. We compare the capabilities measured after complete preference and next-interaction formulations under a shared model setting.</w:t>
      </w:r>
      <w:bookmarkEnd w:id="10"/>
    </w:p>
    <w:p>
      <w:pPr>
        <w:keepNext/>
        <w:spacing w:before="120" w:after="60"/>
        <w:jc w:val="left"/>
      </w:pPr>
      <w:r>
        <w:rPr>
          <w:rFonts w:ascii="Times New Roman" w:hAnsi="Times New Roman"/>
          <w:i/>
          <w:sz w:val="20"/>
        </w:rPr>
        <w:t>B. Recommendation Supervision and Task Formulation</w:t>
      </w:r>
    </w:p>
    <w:p>
      <w:pPr>
        <w:spacing w:before="0" w:after="70" w:line="228" w:lineRule="auto"/>
        <w:ind w:firstLine="288"/>
        <w:jc w:val="both"/>
      </w:pPr>
      <w:bookmarkStart w:id="11" w:name="SYNC_EN_rw_tasks_p01"/>
      <w:r>
        <w:rPr>
          <w:rFonts w:ascii="Times New Roman" w:hAnsi="Times New Roman"/>
          <w:sz w:val="20"/>
        </w:rPr>
        <w:t>Recommendation targets differ before any language interface. Matrix factorization fits ratings, implicit-feedback methods distinguish preference from confidence in observations, and sequential models predict a subsequent item [6], [7], [15]. Their scores therefore concern assessments, observed behavior, or next-event selection. Separating target from modeling technique clarifies which capability a score supports.</w:t>
      </w:r>
      <w:bookmarkEnd w:id="11"/>
    </w:p>
    <w:p>
      <w:pPr>
        <w:spacing w:before="0" w:after="70" w:line="228" w:lineRule="auto"/>
        <w:ind w:firstLine="288"/>
        <w:jc w:val="both"/>
      </w:pPr>
      <w:bookmarkStart w:id="12" w:name="SYNC_EN_rw_tasks_p02"/>
      <w:r>
        <w:rPr>
          <w:rFonts w:ascii="Times New Roman" w:hAnsi="Times New Roman"/>
          <w:sz w:val="20"/>
        </w:rPr>
        <w:t>A common language interface can retain these distinctions. P5 includes rating-threshold like/dislike questions and next-item interfaces; ITDR also combines rating and next-item tasks [4], [8]. Task distinction is therefore not new. Our framing compares their observed native and bridge capability profiles while treating target, task data, prompt, and scoring rule as one complete formulation rather than a single isolated semantic factor.</w:t>
      </w:r>
      <w:bookmarkEnd w:id="12"/>
    </w:p>
    <w:p>
      <w:pPr>
        <w:keepNext/>
        <w:spacing w:before="120" w:after="60"/>
        <w:jc w:val="left"/>
      </w:pPr>
      <w:r>
        <w:rPr>
          <w:rFonts w:ascii="Times New Roman" w:hAnsi="Times New Roman"/>
          <w:i/>
          <w:sz w:val="20"/>
        </w:rPr>
        <w:t>C. Multitask and Unified Recommendation Modeling</w:t>
      </w:r>
    </w:p>
    <w:p>
      <w:pPr>
        <w:spacing w:before="0" w:after="70" w:line="228" w:lineRule="auto"/>
        <w:ind w:firstLine="288"/>
        <w:jc w:val="both"/>
      </w:pPr>
      <w:bookmarkStart w:id="13" w:name="SYNC_EN_rw_unified_p01"/>
      <w:r>
        <w:rPr>
          <w:rFonts w:ascii="Times New Roman" w:hAnsi="Times New Roman"/>
          <w:sz w:val="20"/>
        </w:rPr>
        <w:t>Unified recommendation already links task design, shared modeling, and data allocation. P5 varies derived instances while comparing single- and multitask models; ITDR reports task-removal and data-subset studies; OpenOneRec specifies task-sampling weights and contrasts low-data, single-domain, and multidomain adaptation [4], [8], [12]. These are substantive data-aware multi-task precedents. Our narrower question tracks specialist-shared relationships as corresponding-task cumulative exposure changes.</w:t>
      </w:r>
      <w:bookmarkEnd w:id="13"/>
    </w:p>
    <w:p>
      <w:pPr>
        <w:spacing w:before="0" w:after="70" w:line="228" w:lineRule="auto"/>
        <w:ind w:firstLine="288"/>
        <w:jc w:val="both"/>
      </w:pPr>
      <w:bookmarkStart w:id="14" w:name="SYNC_EN_rw_unified_p02"/>
      <w:r>
        <w:rPr>
          <w:rFonts w:ascii="Times New Roman" w:hAnsi="Times New Roman"/>
          <w:sz w:val="20"/>
        </w:rPr>
        <w:t>Specialization also depends on the combined tasks or domains. Penha et al. vary added-task per-item caps when comparing specialized and shared search-recommendation models, while OneReason studies reinforcement-learning experts and a unified student [13], [16]. Rather than claiming the first data-aware specialist-shared comparison, we align cumulative exposure for each Y/N target task and then test how the resulting ranking relationship varies across candidate protocols.</w:t>
      </w:r>
      <w:bookmarkEnd w:id="14"/>
    </w:p>
    <w:p>
      <w:pPr>
        <w:keepNext/>
        <w:spacing w:before="120" w:after="60"/>
        <w:jc w:val="left"/>
      </w:pPr>
      <w:r>
        <w:rPr>
          <w:rFonts w:ascii="Times New Roman" w:hAnsi="Times New Roman"/>
          <w:i/>
          <w:sz w:val="20"/>
        </w:rPr>
        <w:t>D. Evaluation and Baseline Comparison</w:t>
      </w:r>
    </w:p>
    <w:p>
      <w:pPr>
        <w:spacing w:before="0" w:after="70" w:line="228" w:lineRule="auto"/>
        <w:ind w:firstLine="288"/>
        <w:jc w:val="both"/>
      </w:pPr>
      <w:bookmarkStart w:id="15" w:name="SYNC_EN_rw_evaluation_p01"/>
      <w:r>
        <w:rPr>
          <w:rFonts w:ascii="Times New Roman" w:hAnsi="Times New Roman"/>
          <w:sz w:val="20"/>
        </w:rPr>
        <w:t>Candidate construction can alter offline ranking conclusions: sampled metrics need not preserve exact-metric orderings, and sampling strategy can affect measurements and model rankings [9], [11]. Target-set construction and diﬀicult retrieved candidates provide related precedents [10], [14]. Candidate sensitivity is therefore established. We use separate non-nested protocols to delimit the higher-exposure specialist-multitask relationship, without isolating candidate count from composition or sampling.</w:t>
      </w:r>
      <w:bookmarkEnd w:id="15"/>
    </w:p>
    <w:p>
      <w:pPr>
        <w:spacing w:before="0" w:after="70" w:line="228" w:lineRule="auto"/>
        <w:ind w:firstLine="288"/>
        <w:jc w:val="both"/>
      </w:pPr>
      <w:bookmarkStart w:id="16" w:name="SYNC_EN_rw_evaluation_p02"/>
      <w:r>
        <w:rPr>
          <w:rFonts w:ascii="Times New Roman" w:hAnsi="Times New Roman"/>
          <w:sz w:val="20"/>
        </w:rPr>
        <w:t>Training conditions complement evaluation scope. SASRec is a sequential reference, while replicability and standardized-evaluation studies underscore careful tuning and the competitiveness of conventional baselines [7], [17], [18]. TALLRec already compares an adapted LLM with SASRec under selected-example budgets, while sequencescaling work studies data-pool size and repetition [3], [19]. Our contribution is not the first budget-aware comparison: it follows both models over four approximately matched cumulative downstream-consumption points, a quantity distinct from selected examples and computation.</w:t>
      </w:r>
      <w:bookmarkEnd w:id="16"/>
    </w:p>
    <w:p>
      <w:pPr>
        <w:spacing w:before="0" w:after="70" w:line="228" w:lineRule="auto"/>
        <w:ind w:firstLine="288"/>
        <w:jc w:val="both"/>
      </w:pPr>
      <w:bookmarkStart w:id="17" w:name="SYNC_EN_rw_synthesis_p01"/>
      <w:r>
        <w:rPr>
          <w:rFonts w:ascii="Times New Roman" w:hAnsi="Times New Roman"/>
          <w:sz w:val="20"/>
        </w:rPr>
        <w:t>Prior work therefore establishes task diversity, shared modeling, data-dependent performance, and candidate-sensitive evaluation. We connect these themes by tracing specialist-shared relationships over cumulative per-task supervision, using a sequential-baseline trajectory and alternative candidate protocols as complementary comparisons and boundaries. Supervision formulation specifies the prediction capability to which each conclusion applies.</w:t>
      </w:r>
      <w:bookmarkEnd w:id="17"/>
    </w:p>
    <w:p>
      <w:pPr>
        <w:keepNext/>
        <w:spacing w:before="160" w:after="80"/>
        <w:jc w:val="center"/>
      </w:pPr>
      <w:bookmarkStart w:id="84" w:name="SYNC_EN_heading_3"/>
      <w:r>
        <w:rPr>
          <w:rFonts w:ascii="Times New Roman" w:hAnsi="Times New Roman"/>
          <w:b w:val="0"/>
          <w:sz w:val="20"/>
        </w:rPr>
        <w:t>III. PROBLEM FORMULATION</w:t>
      </w:r>
      <w:bookmarkEnd w:id="84"/>
    </w:p>
    <w:p>
      <w:pPr>
        <w:spacing w:before="0" w:after="70" w:line="228" w:lineRule="auto"/>
        <w:ind w:firstLine="288"/>
        <w:jc w:val="both"/>
      </w:pPr>
      <w:bookmarkStart w:id="18" w:name="SYNC_EN_problem_p01"/>
      <w:r>
        <w:rPr>
          <w:rFonts w:ascii="Times New Roman" w:hAnsi="Times New Roman"/>
          <w:sz w:val="20"/>
        </w:rPr>
        <w:t>Let an interaction be a user-item event with a rating and timestamp, and let H(u,t) contain a user’s interactions strictly before t. Samples use the complete sequence, while model input retains at most the 10 most recent strictly earlier interactions, H_10(u,t), paired with an item i or candidate set C. A rating-derived preference label and the next observed item answer different questions even when drawn from the same sequence.</w:t>
      </w:r>
      <w:bookmarkEnd w:id="18"/>
    </w:p>
    <w:p>
      <w:pPr>
        <w:keepNext/>
        <w:spacing w:before="120" w:after="60"/>
        <w:jc w:val="left"/>
      </w:pPr>
      <w:r>
        <w:rPr>
          <w:rFonts w:ascii="Times New Roman" w:hAnsi="Times New Roman"/>
          <w:i/>
          <w:sz w:val="20"/>
        </w:rPr>
        <w:t>A. Preference, Next Interaction, and Multitask Interfaces</w:t>
      </w:r>
    </w:p>
    <w:p>
      <w:pPr>
        <w:spacing w:before="0" w:after="70" w:line="228" w:lineRule="auto"/>
        <w:ind w:firstLine="288"/>
        <w:jc w:val="both"/>
      </w:pPr>
      <w:bookmarkStart w:id="19" w:name="SYNC_EN_methods_task_p01"/>
      <w:r>
        <w:rPr>
          <w:rFonts w:ascii="Times New Roman" w:hAnsi="Times New Roman"/>
          <w:sz w:val="20"/>
        </w:rPr>
        <w:t>Y estimates P(Like | H_10,i), where ratings at least 4 map to Yes and lower ratings to No. The complete sequence, including low-rated events, supplies histories and targets. Native evaluation measures rating-derived class discrimination; independently scoring candidates through P(Yes) provides the bridge to next-interaction ranking.</w:t>
      </w:r>
      <w:bookmarkEnd w:id="19"/>
    </w:p>
    <w:p>
      <w:pPr>
        <w:spacing w:before="0" w:after="70" w:line="228" w:lineRule="auto"/>
        <w:ind w:firstLine="288"/>
        <w:jc w:val="both"/>
      </w:pPr>
      <w:bookmarkStart w:id="20" w:name="SYNC_EN_methods_task_p02"/>
      <w:r>
        <w:rPr>
          <w:rFonts w:ascii="Times New Roman" w:hAnsi="Times New Roman"/>
          <w:sz w:val="20"/>
        </w:rPr>
        <w:t>N estimates P(NextInteraction = i | H_10,C), where C contains the observed next item and fixed distractors; the answer is the target’s candidate label. Targets use all rating levels. A distractor is an alternative to the observed next event, not a confirmed dislike, and previously encountered items remain eligible.</w:t>
      </w:r>
      <w:bookmarkEnd w:id="20"/>
    </w:p>
    <w:p>
      <w:pPr>
        <w:spacing w:before="0" w:after="70" w:line="228" w:lineRule="auto"/>
        <w:ind w:firstLine="288"/>
        <w:jc w:val="both"/>
      </w:pPr>
      <w:bookmarkStart w:id="21" w:name="SYNC_EN_methods_task_p03"/>
      <w:r>
        <w:rPr>
          <w:rFonts w:ascii="Times New Roman" w:hAnsi="Times New Roman"/>
          <w:sz w:val="20"/>
        </w:rPr>
        <w:t>M1 interleaves Y and N within one shared adapter while retaining task-specific prompts and answer spaces. M-Y and M-N denote its two scoring interfaces. Each is compared with the corresponding specialist at matched task exposure; M1 total exposure is the sum across tasks.</w:t>
      </w:r>
      <w:bookmarkEnd w:id="21"/>
    </w:p>
    <w:p>
      <w:pPr>
        <w:spacing w:before="0" w:after="70" w:line="228" w:lineRule="auto"/>
        <w:ind w:firstLine="288"/>
        <w:jc w:val="both"/>
      </w:pPr>
      <w:bookmarkStart w:id="22" w:name="SYNC_EN_problem_p02"/>
      <w:r>
        <w:rPr>
          <w:rFonts w:ascii="Times New Roman" w:hAnsi="Times New Roman"/>
          <w:sz w:val="20"/>
        </w:rPr>
        <w:t>RQ1 compares the observed Y and N capability profiles; RQ2 traces their response to task-sample exposure. RQ3 asks how closely M1 approaches both specialists at matched per-task exposure, and RQ4 tests how the standard PopMatch-k5 relationship changes under alternative candidate protocols. RQ5 follows the exposure-conditioned comparison between N-trained LlamaRec and SASRec.</w:t>
      </w:r>
      <w:bookmarkEnd w:id="22"/>
    </w:p>
    <w:p>
      <w:pPr>
        <w:keepNext/>
        <w:spacing w:before="160" w:after="80"/>
        <w:jc w:val="center"/>
      </w:pPr>
      <w:bookmarkStart w:id="85" w:name="SYNC_EN_heading_4"/>
      <w:r>
        <w:rPr>
          <w:rFonts w:ascii="Times New Roman" w:hAnsi="Times New Roman"/>
          <w:b w:val="0"/>
          <w:sz w:val="20"/>
        </w:rPr>
        <w:t>IV. METHODOLOGY</w:t>
      </w:r>
      <w:bookmarkEnd w:id="85"/>
    </w:p>
    <w:p>
      <w:pPr>
        <w:spacing w:before="0" w:after="70" w:line="228" w:lineRule="auto"/>
        <w:ind w:firstLine="288"/>
        <w:jc w:val="both"/>
      </w:pPr>
      <w:bookmarkStart w:id="23" w:name="SYNC_EN_methodology_p01"/>
      <w:r>
        <w:rPr>
          <w:rFonts w:ascii="Times New Roman" w:hAnsi="Times New Roman"/>
          <w:sz w:val="20"/>
        </w:rPr>
        <w:t>The pipeline constructs temporally legal examples, adapts a common base model with task-specific prompts, and scores allowed responses. Complete user sequences define examples, bounded recent histories form prompts, and the Y and N interfaces produce preference scores or candidate orderings.</w:t>
      </w:r>
      <w:bookmarkEnd w:id="23"/>
    </w:p>
    <w:p>
      <w:pPr>
        <w:keepNext/>
        <w:spacing w:before="120" w:after="60"/>
        <w:jc w:val="left"/>
      </w:pPr>
      <w:r>
        <w:rPr>
          <w:rFonts w:ascii="Times New Roman" w:hAnsi="Times New Roman"/>
          <w:i/>
          <w:sz w:val="20"/>
        </w:rPr>
        <w:t>A. Temporal Sample Construction</w:t>
      </w:r>
    </w:p>
    <w:p>
      <w:pPr>
        <w:spacing w:before="0" w:after="70" w:line="228" w:lineRule="auto"/>
        <w:ind w:firstLine="288"/>
        <w:jc w:val="both"/>
      </w:pPr>
      <w:bookmarkStart w:id="24" w:name="SYNC_EN_methods_temporal_p01"/>
      <w:r>
        <w:rPr>
          <w:rFonts w:ascii="Times New Roman" w:hAnsi="Times New Roman"/>
          <w:sz w:val="20"/>
        </w:rPr>
        <w:t>Each user’s sequence is grouped into ordered timestamp buckets. A target at t uses only events strictly before t, so same-bucket Y targets share the preceding history. The last bucket supplies Y test targets, the previous bucket supplies validation, and earlier buckets supply training; a held-out bucket may yield several Y targets. Prompts retain the 10 most recent eligible events.</w:t>
      </w:r>
      <w:bookmarkEnd w:id="24"/>
    </w:p>
    <w:p>
      <w:pPr>
        <w:spacing w:before="0" w:after="70" w:line="228" w:lineRule="auto"/>
        <w:ind w:firstLine="288"/>
        <w:jc w:val="both"/>
      </w:pPr>
      <w:bookmarkStart w:id="25" w:name="SYNC_EN_methods_temporal_p02"/>
      <w:r>
        <w:rPr>
          <w:rFonts w:ascii="Times New Roman" w:hAnsi="Times New Roman"/>
          <w:sz w:val="20"/>
        </w:rPr>
        <w:t>N requires preceding history and one unique next item, so legal targets are single-interaction buckets after the initial bucket. Multi-interaction buckets are skipped as targets but remain in later histories. The last two legal N examples become validation and test; earlier legal examples form training. Inputs again retain at most 10 strictly earlier interactions.</w:t>
      </w:r>
      <w:bookmarkEnd w:id="25"/>
    </w:p>
    <w:p>
      <w:pPr>
        <w:keepNext/>
        <w:spacing w:before="120" w:after="60"/>
        <w:jc w:val="left"/>
      </w:pPr>
      <w:r>
        <w:rPr>
          <w:rFonts w:ascii="Times New Roman" w:hAnsi="Times New Roman"/>
          <w:i/>
          <w:sz w:val="20"/>
        </w:rPr>
        <w:t>B. Shared Adaptation and Response Scoring</w:t>
      </w:r>
    </w:p>
    <w:p>
      <w:pPr>
        <w:spacing w:before="0" w:after="70" w:line="228" w:lineRule="auto"/>
        <w:ind w:firstLine="288"/>
        <w:jc w:val="both"/>
      </w:pPr>
      <w:bookmarkStart w:id="26" w:name="SYNC_EN_methods_training_p01"/>
      <w:r>
        <w:rPr>
          <w:rFonts w:ascii="Times New Roman" w:hAnsi="Times New Roman"/>
          <w:sz w:val="20"/>
        </w:rPr>
        <w:t>We adapt Llama-3.2-3B-Instruct [20] with QLoRA over a frozen 4-bit NF4 base [21]. Rank 16 LoRA adapters [22] use alpha 32 and dropout 0.05 across q/k/v/o and gate/up/down projections. Gradient checkpointing is enabled and maximum sequence length is 2,048.</w:t>
      </w:r>
      <w:bookmarkEnd w:id="26"/>
    </w:p>
    <w:p>
      <w:pPr>
        <w:spacing w:before="0" w:after="70" w:line="228" w:lineRule="auto"/>
        <w:ind w:firstLine="288"/>
        <w:jc w:val="both"/>
      </w:pPr>
      <w:bookmarkStart w:id="27" w:name="SYNC_EN_methods_training_p02"/>
      <w:r>
        <w:rPr>
          <w:rFonts w:ascii="Times New Roman" w:hAnsi="Times New Roman"/>
          <w:sz w:val="20"/>
        </w:rPr>
        <w:t>Examples use instruction-chat format with the answer as the assistant response. Prompt and padding tokens are masked, giving response-only loss. Y supervises Yes/No and N supervises the target candidate label. M1 shares adapter parameters and interleaves Y/N examples 1:1, with the prompt identifying the task.</w:t>
      </w:r>
      <w:bookmarkEnd w:id="27"/>
    </w:p>
    <w:p>
      <w:pPr>
        <w:spacing w:before="0" w:after="70" w:line="228" w:lineRule="auto"/>
        <w:ind w:firstLine="288"/>
        <w:jc w:val="both"/>
      </w:pPr>
      <w:bookmarkStart w:id="28" w:name="SYNC_EN_methods_training_p03"/>
      <w:r>
        <w:rPr>
          <w:rFonts w:ascii="Times New Roman" w:hAnsi="Times New Roman"/>
          <w:sz w:val="20"/>
        </w:rPr>
        <w:t>Inference scores allowed-answer likelihoods. Y normalizes Yes/No likelihoods and Y-as-ranker orders independently scored candidates. N normalizes candidate-label likelihoods conditioned on the list. Multi-token answers use complete-sequence log-likelihood; M-Y and M-N reuse these routes.</w:t>
      </w:r>
      <w:bookmarkEnd w:id="28"/>
    </w:p>
    <w:p>
      <w:pPr>
        <w:spacing w:before="0" w:after="70" w:line="228" w:lineRule="auto"/>
        <w:ind w:firstLine="288"/>
        <w:jc w:val="both"/>
      </w:pPr>
      <w:bookmarkStart w:id="29" w:name="SYNC_EN_methods_training_p04"/>
      <w:r>
        <w:rPr>
          <w:rFonts w:ascii="Times New Roman" w:hAnsi="Times New Roman"/>
          <w:sz w:val="20"/>
        </w:rPr>
        <w:t>One-device micro-batch 1 with 8 accumulation steps yields 8 examples per optimizer update. Checkpoints are indexed by cumulative steps and task exposure and evaluated on fixed candidates. Validation guides training decisions; test follows frozen selection. Multitask per-task allocation is specified below.</w:t>
      </w:r>
      <w:bookmarkEnd w:id="29"/>
    </w:p>
    <w:p>
      <w:pPr>
        <w:keepNext/>
        <w:spacing w:before="160" w:after="80"/>
        <w:jc w:val="center"/>
      </w:pPr>
      <w:bookmarkStart w:id="86" w:name="SYNC_EN_heading_5"/>
      <w:r>
        <w:rPr>
          <w:rFonts w:ascii="Times New Roman" w:hAnsi="Times New Roman"/>
          <w:b w:val="0"/>
          <w:sz w:val="20"/>
        </w:rPr>
        <w:t>V. EXPERIMENTAL SETUP</w:t>
      </w:r>
      <w:bookmarkEnd w:id="86"/>
    </w:p>
    <w:p>
      <w:pPr>
        <w:spacing w:before="0" w:after="70" w:line="228" w:lineRule="auto"/>
        <w:ind w:firstLine="288"/>
        <w:jc w:val="both"/>
      </w:pPr>
      <w:bookmarkStart w:id="30" w:name="SYNC_EN_setup_p01"/>
      <w:r>
        <w:rPr>
          <w:rFonts w:ascii="Times New Roman" w:hAnsi="Times New Roman"/>
          <w:sz w:val="20"/>
        </w:rPr>
        <w:t>MovieLens-1M supports the exposure and specialist-multitask analyses; Amazon Musical Instruments supplies an external ranking check. Native preference and ranking metrics are reported separately with split and exposure identified. Validation guides exposure and checkpoint decisions, while frozen-test results are reported only after those decisions.</w:t>
      </w:r>
      <w:bookmarkEnd w:id="30"/>
    </w:p>
    <w:p>
      <w:pPr>
        <w:sectPr>
          <w:type w:val="continuous"/>
          <w:pgSz w:w="12240" w:h="15840"/>
          <w:pgMar w:top="1080" w:right="893" w:bottom="1440" w:left="893" w:header="720" w:footer="720" w:gutter="0"/>
          <w:cols w:num="2" w:space="360"/>
          <w:docGrid w:linePitch="360"/>
        </w:sectPr>
      </w:pPr>
    </w:p>
    <w:p>
      <w:pPr>
        <w:keepNext/>
        <w:spacing w:before="160" w:after="80"/>
        <w:jc w:val="center"/>
      </w:pPr>
      <w:bookmarkStart w:id="91" w:name="SYNC_EN_table_caption_1"/>
      <w:r>
        <w:rPr>
          <w:rFonts w:ascii="Times New Roman" w:hAnsi="Times New Roman"/>
          <w:sz w:val="16"/>
        </w:rPr>
        <w:t>TABLE I Task-specific dataset splits.</w:t>
      </w:r>
      <w:bookmarkEnd w:id="91"/>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728"/>
        <w:gridCol w:w="1728"/>
        <w:gridCol w:w="1728"/>
        <w:gridCol w:w="1728"/>
        <w:gridCol w:w="1728"/>
        <w:gridCol w:w="1728"/>
      </w:tblGrid>
      <w:tr>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Dataset</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Task</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Users</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Train</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Validation</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Test</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MovieLens-1M</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6040</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976284</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12381</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11544</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MovieLens-1M</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212725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Amazon Musical Instruments</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396908</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57442</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57442</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Amazon Musical Instruments</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339449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r>
    </w:tbl>
    <w:p>
      <w:pPr>
        <w:spacing w:after="0" w:before="0"/>
      </w:pPr>
    </w:p>
    <w:p>
      <w:pPr>
        <w:sectPr>
          <w:type w:val="continuous"/>
          <w:pgSz w:w="12240" w:h="15840"/>
          <w:pgMar w:top="1080" w:right="893" w:bottom="1440" w:left="893" w:header="720" w:footer="720" w:gutter="0"/>
          <w:cols w:num="1"/>
          <w:docGrid w:linePitch="360"/>
        </w:sectPr>
      </w:pPr>
    </w:p>
    <w:p>
      <w:pPr>
        <w:keepNext/>
        <w:spacing w:before="120" w:after="60"/>
        <w:jc w:val="left"/>
      </w:pPr>
      <w:r>
        <w:rPr>
          <w:rFonts w:ascii="Times New Roman" w:hAnsi="Times New Roman"/>
          <w:i/>
          <w:sz w:val="20"/>
        </w:rPr>
        <w:t>A. Datasets and Evidence Coverage</w:t>
      </w:r>
    </w:p>
    <w:p>
      <w:pPr>
        <w:spacing w:before="0" w:after="70" w:line="228" w:lineRule="auto"/>
        <w:ind w:firstLine="288"/>
        <w:jc w:val="both"/>
      </w:pPr>
      <w:bookmarkStart w:id="31" w:name="SYNC_EN_methods_datasets_p01"/>
      <w:r>
        <w:rPr>
          <w:rFonts w:ascii="Times New Roman" w:hAnsi="Times New Roman"/>
          <w:sz w:val="20"/>
        </w:rPr>
        <w:t>MovieLens-1M [23] uses task-specific temporal splits summarized in Table I. Different target and timestampbucket rules yield 6,040 Y users and 5,675 legal N users. Ratings cover 3,706 distinct items, while the metadata universe contains 3,883, a distinction retained for coverage interpretation.</w:t>
      </w:r>
      <w:bookmarkEnd w:id="31"/>
    </w:p>
    <w:p>
      <w:pPr>
        <w:spacing w:before="0" w:after="70" w:line="228" w:lineRule="auto"/>
        <w:ind w:firstLine="288"/>
        <w:jc w:val="both"/>
      </w:pPr>
      <w:bookmarkStart w:id="32" w:name="SYNC_EN_methods_datasets_p02"/>
      <w:r>
        <w:rPr>
          <w:rFonts w:ascii="Times New Roman" w:hAnsi="Times New Roman"/>
          <w:sz w:val="20"/>
        </w:rPr>
        <w:t>The processed Amazon Reviews 2023 5-core Musical Instruments data [24] contain 57,439 users, 24,584 items, and 511,792 interactions; task splits appear in the same table. External evidence uses seed42 full-test Random-k5 and PopMatch-k5 ranking at available earlier operating points, covering Y-as-ranker, N, and sequential references.</w:t>
      </w:r>
      <w:bookmarkEnd w:id="32"/>
    </w:p>
    <w:p>
      <w:pPr>
        <w:keepNext/>
        <w:spacing w:before="120" w:after="60"/>
        <w:jc w:val="left"/>
      </w:pPr>
      <w:r>
        <w:rPr>
          <w:rFonts w:ascii="Times New Roman" w:hAnsi="Times New Roman"/>
          <w:i/>
          <w:sz w:val="20"/>
        </w:rPr>
        <w:t>B. Task-Sample Exposure and Matching</w:t>
      </w:r>
    </w:p>
    <w:p>
      <w:pPr>
        <w:spacing w:before="0" w:after="70" w:line="228" w:lineRule="auto"/>
        <w:ind w:firstLine="288"/>
        <w:jc w:val="both"/>
      </w:pPr>
      <w:bookmarkStart w:id="33" w:name="SYNC_EN_methods_exposure_p01"/>
      <w:r>
        <w:rPr>
          <w:rFonts w:ascii="Times New Roman" w:hAnsi="Times New Roman"/>
          <w:sz w:val="20"/>
        </w:rPr>
        <w:t>Task-sample exposure counts examples consumed for task q, including repetitions: E_q = sum_s sum_(x in B_s) 1[task(x)=q], where B_s is optimizer step s’s batch. It measures received supervision, not unique interactions, because examples may repeat and task histories overlap.</w:t>
      </w:r>
      <w:bookmarkEnd w:id="33"/>
    </w:p>
    <w:p>
      <w:pPr>
        <w:spacing w:before="0" w:after="70" w:line="228" w:lineRule="auto"/>
        <w:ind w:firstLine="288"/>
        <w:jc w:val="both"/>
      </w:pPr>
      <w:bookmarkStart w:id="34" w:name="SYNC_EN_methods_exposure_p02"/>
      <w:r>
        <w:rPr>
          <w:rFonts w:ascii="Times New Roman" w:hAnsi="Times New Roman"/>
          <w:sz w:val="20"/>
        </w:rPr>
        <w:t>With effective batch 8, specialist updates map directly to task exposure. Balanced M1-48 and M1-96 receive expected per-task exposures of 48k and 96k and totals of 96k and 192k; this accounting assumes correct resume data skipping. Table II separates optimizer steps, total exposure, and Y/N exposure.</w:t>
      </w:r>
      <w:bookmarkEnd w:id="34"/>
    </w:p>
    <w:p>
      <w:pPr>
        <w:sectPr>
          <w:type w:val="continuous"/>
          <w:pgSz w:w="12240" w:h="15840"/>
          <w:pgMar w:top="1080" w:right="893" w:bottom="1440" w:left="893" w:header="720" w:footer="720" w:gutter="0"/>
          <w:cols w:num="2" w:space="360"/>
          <w:docGrid w:linePitch="360"/>
        </w:sectPr>
      </w:pPr>
    </w:p>
    <w:p>
      <w:pPr>
        <w:keepNext/>
        <w:spacing w:before="160" w:after="80"/>
        <w:jc w:val="center"/>
      </w:pPr>
      <w:bookmarkStart w:id="92" w:name="SYNC_EN_table_caption_2"/>
      <w:r>
        <w:rPr>
          <w:rFonts w:ascii="Times New Roman" w:hAnsi="Times New Roman"/>
          <w:sz w:val="16"/>
        </w:rPr>
        <w:t>TABLE II LLM optimizer steps and task-sample exposure (effective batch 8). For a specialist, total exposure equals its task exposure. M1 total exposure is twice its expected per-task exposure, conditional on correct resume data skipping.</w:t>
      </w:r>
      <w:bookmarkEnd w:id="92"/>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Steps</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Total</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Y exposure</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exposure</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3000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3000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25000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192000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bookmarkStart w:id="35" w:name="SYNC_EN_methods_exposure_p03"/>
      <w:r>
        <w:rPr>
          <w:rFonts w:ascii="Times New Roman" w:hAnsi="Times New Roman"/>
          <w:sz w:val="20"/>
        </w:rPr>
        <w:t>N200 consumes 200,000 examples, about 94.0% of the 212,725-example legal N training pool, and serves as a near-one-pass anchor. SASRec uses recorded actual consumption, including short final batches: 24,064, 48,128, 96,256, and 200,000 examples. These points approximately match N24/N48/N96/N200 rather than equate computation.</w:t>
      </w:r>
      <w:bookmarkEnd w:id="35"/>
    </w:p>
    <w:p>
      <w:pPr>
        <w:keepNext/>
        <w:spacing w:before="120" w:after="60"/>
        <w:jc w:val="left"/>
      </w:pPr>
      <w:r>
        <w:rPr>
          <w:rFonts w:ascii="Times New Roman" w:hAnsi="Times New Roman"/>
          <w:i/>
          <w:sz w:val="20"/>
        </w:rPr>
        <w:t>C. Native Metrics and Candidate Protocols</w:t>
      </w:r>
    </w:p>
    <w:p>
      <w:pPr>
        <w:spacing w:before="0" w:after="70" w:line="228" w:lineRule="auto"/>
        <w:ind w:firstLine="288"/>
        <w:jc w:val="both"/>
      </w:pPr>
      <w:bookmarkStart w:id="36" w:name="SYNC_EN_methods_evaluation_p01"/>
      <w:r>
        <w:rPr>
          <w:rFonts w:ascii="Times New Roman" w:hAnsi="Times New Roman"/>
          <w:sz w:val="20"/>
        </w:rPr>
        <w:t>Y-native evaluation reports AUC, F1, and accuracy; paired 96k F1/accuracy use threshold 0.5. Y-as-ranker independently scores candidates by P(Yes), whereas Nnative and M-N use candidate-label likelihoods. Ranking reports HR@1, NDCG@5, and MRR; NDCG is truncated at 5 and MRR uses the complete candidate ranking.</w:t>
      </w:r>
      <w:bookmarkEnd w:id="36"/>
    </w:p>
    <w:p>
      <w:pPr>
        <w:spacing w:before="0" w:after="70" w:line="228" w:lineRule="auto"/>
        <w:ind w:firstLine="288"/>
        <w:jc w:val="both"/>
      </w:pPr>
      <w:bookmarkStart w:id="37" w:name="SYNC_EN_methods_evaluation_p02"/>
      <w:r>
        <w:rPr>
          <w:rFonts w:ascii="Times New Roman" w:hAnsi="Times New Roman"/>
          <w:sz w:val="20"/>
        </w:rPr>
        <w:t>Random-k5 has one target and four random distractors. PopMatch-k5 draws distractors near the target’s full-corpus popularity from a pool up to 10 times the needed size, excluding the target. Fixed ordered lists are shared within comparisons. This retrospective control reduces one popularity mismatch; it is not online retrieval.</w:t>
      </w:r>
      <w:bookmarkEnd w:id="37"/>
    </w:p>
    <w:p>
      <w:pPr>
        <w:spacing w:before="0" w:after="70" w:line="228" w:lineRule="auto"/>
        <w:ind w:firstLine="288"/>
        <w:jc w:val="both"/>
      </w:pPr>
      <w:bookmarkStart w:id="38" w:name="SYNC_EN_methods_evaluation_p03"/>
      <w:r>
        <w:rPr>
          <w:rFonts w:ascii="Times New Roman" w:hAnsi="Times New Roman"/>
          <w:sz w:val="20"/>
        </w:rPr>
        <w:t>Hard-k20 and hard-k50 evaluate N96 and M1-96 on shared examples and ordered candidates within each protocol. Their candidate sets are separately constructed and non-nested, so count and composition change together. They test protocol-conditioned robustness rather than isolate candidate size.</w:t>
      </w:r>
      <w:bookmarkEnd w:id="38"/>
    </w:p>
    <w:p>
      <w:pPr>
        <w:spacing w:before="0" w:after="70" w:line="228" w:lineRule="auto"/>
        <w:ind w:firstLine="288"/>
        <w:jc w:val="both"/>
      </w:pPr>
      <w:bookmarkStart w:id="39" w:name="SYNC_EN_methods_evaluation_p04"/>
      <w:r>
        <w:rPr>
          <w:rFonts w:ascii="Times New Roman" w:hAnsi="Times New Roman"/>
          <w:sz w:val="20"/>
        </w:rPr>
        <w:t>To ensure cross-task holdout integrity for the shared adapter, M1-N comparisons are restricted to a cross-tasksafe subset of N evaluation examples. For an example e=(u,t), we retain it only when its target was not consumed as an M1 Y-training target, did not enter the history of any later M1 Y-training example, and no M1 Y-training target for user u has a timestamp at or after t. The M1 N-training branch has 0 target or history overlap with the retained N holdouts. N and M1-N are evaluated on exactly the same retained examples. Training follows the task-specific streams; this additional criterion is an evaluation-side restriction, not a joint temporal cutoff used during training.</w:t>
      </w:r>
      <w:bookmarkEnd w:id="39"/>
    </w:p>
    <w:p>
      <w:pPr>
        <w:spacing w:before="0" w:after="70" w:line="228" w:lineRule="auto"/>
        <w:ind w:firstLine="288"/>
        <w:jc w:val="both"/>
      </w:pPr>
      <w:bookmarkStart w:id="40" w:name="SYNC_EN_methods_evaluation_p05"/>
      <w:r>
        <w:rPr>
          <w:rFonts w:ascii="Times New Roman" w:hAnsi="Times New Roman"/>
          <w:sz w:val="20"/>
        </w:rPr>
        <w:t>Cross-task-safe coverage is 5,494/5,675 (96.81%) on M1-48 validation, 5,600/5,675 (98.68%) on its test, 5,318/5,675 (93.71%) on M1-96 validation, and 5,535/5,675 (97.53%) on its test Table III. For the seed42 comparison from 48k to 96k, we use the intersection of the M1-48 and M1-96 masks, giving the same 5,318 validation and 5,535 test examples at both exposure points.</w:t>
      </w:r>
      <w:bookmarkEnd w:id="40"/>
    </w:p>
    <w:p>
      <w:pPr>
        <w:sectPr>
          <w:type w:val="continuous"/>
          <w:pgSz w:w="12240" w:h="15840"/>
          <w:pgMar w:top="1080" w:right="893" w:bottom="1440" w:left="893" w:header="720" w:footer="720" w:gutter="0"/>
          <w:cols w:num="2" w:space="360"/>
          <w:docGrid w:linePitch="360"/>
        </w:sectPr>
      </w:pPr>
    </w:p>
    <w:p>
      <w:pPr>
        <w:keepNext/>
        <w:spacing w:before="160" w:after="80"/>
        <w:jc w:val="center"/>
      </w:pPr>
      <w:bookmarkStart w:id="93" w:name="SYNC_EN_table_caption_3"/>
      <w:r>
        <w:rPr>
          <w:rFonts w:ascii="Times New Roman" w:hAnsi="Times New Roman"/>
          <w:sz w:val="16"/>
        </w:rPr>
        <w:t>TABLE III Cross-task-safe subset coverage for M1-N comparisons on MovieLens. The restriction is applied to evaluation, and N and M1-N use the same retained examples within each row.</w:t>
      </w:r>
      <w:bookmarkEnd w:id="93"/>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M1 point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Retained</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Full holdout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Coverage (%)</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5494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96.81</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98.68</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93.71</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97.53</w:t>
            </w:r>
          </w:p>
        </w:tc>
      </w:tr>
    </w:tbl>
    <w:p>
      <w:pPr>
        <w:spacing w:after="0" w:before="0"/>
      </w:pPr>
    </w:p>
    <w:p>
      <w:pPr>
        <w:sectPr>
          <w:type w:val="continuous"/>
          <w:pgSz w:w="12240" w:h="15840"/>
          <w:pgMar w:top="1080" w:right="893" w:bottom="1440" w:left="893" w:header="720" w:footer="720" w:gutter="0"/>
          <w:cols w:num="1"/>
          <w:docGrid w:linePitch="360"/>
        </w:sectPr>
      </w:pPr>
    </w:p>
    <w:p>
      <w:pPr>
        <w:keepNext/>
        <w:spacing w:before="120" w:after="60"/>
        <w:jc w:val="left"/>
      </w:pPr>
      <w:r>
        <w:rPr>
          <w:rFonts w:ascii="Times New Roman" w:hAnsi="Times New Roman"/>
          <w:i/>
          <w:sz w:val="20"/>
        </w:rPr>
        <w:t>D. Sequential Baseline and Comparison Scope</w:t>
      </w:r>
    </w:p>
    <w:p>
      <w:pPr>
        <w:spacing w:before="0" w:after="70" w:line="228" w:lineRule="auto"/>
        <w:ind w:firstLine="288"/>
        <w:jc w:val="both"/>
      </w:pPr>
      <w:bookmarkStart w:id="41" w:name="SYNC_EN_methods_baseline_p01"/>
      <w:r>
        <w:rPr>
          <w:rFonts w:ascii="Times New Roman" w:hAnsi="Times New Roman"/>
          <w:sz w:val="20"/>
        </w:rPr>
        <w:t>SASRec [7] uses 64-dimensional item and position embeddings, 2 attention heads, 2 causal Transformer layers, a 256-dimensional feed-forward block with GELU, dropout 0.2, final LayerNorm, and a maximum history of 10. It scores an item by the dot product between the sequence representation and item embedding plus an item bias. Training uses full-item cross-entropy and AdamW with learning rate 0.001, weight decay 0, no scheduler, batch size 512, and seed42.</w:t>
      </w:r>
      <w:bookmarkEnd w:id="41"/>
    </w:p>
    <w:p>
      <w:pPr>
        <w:spacing w:before="0" w:after="70" w:line="228" w:lineRule="auto"/>
        <w:ind w:firstLine="288"/>
        <w:jc w:val="both"/>
      </w:pPr>
      <w:bookmarkStart w:id="42" w:name="SYNC_EN_methods_baseline_p02"/>
      <w:r>
        <w:rPr>
          <w:rFonts w:ascii="Times New Roman" w:hAnsi="Times New Roman"/>
          <w:sz w:val="20"/>
        </w:rPr>
        <w:t>S47, S94, S188, and S391 are predefined 47-, 94-, 188, and 391-optimizer-step operating points, independently trained from scratch rather than selected as best validation checkpoints or by early stopping. Their recorded downstream task-sample exposures are 24,064, 48,128, 96,256, and 200,000, including the short final batch. They are paired with N24/N48/N96/N200 on the same seed42 PopMatch-k5 validation and test candidate sets. Validation is the main comparison and frozen test is report-only. This design aligns downstream task-sample exposure only, not pretraining, tokens, optimizer steps, FLOPs, wall-clock time, hardware, latency, parameter count, or computational resources.</w:t>
      </w:r>
      <w:bookmarkEnd w:id="42"/>
    </w:p>
    <w:p>
      <w:pPr>
        <w:keepNext/>
        <w:spacing w:before="120" w:after="60"/>
        <w:jc w:val="left"/>
      </w:pPr>
      <w:r>
        <w:rPr>
          <w:rFonts w:ascii="Times New Roman" w:hAnsi="Times New Roman"/>
          <w:i/>
          <w:sz w:val="20"/>
        </w:rPr>
        <w:t>E. Statistical Analysis and Training Seeds</w:t>
      </w:r>
    </w:p>
    <w:p>
      <w:pPr>
        <w:spacing w:before="0" w:after="70" w:line="228" w:lineRule="auto"/>
        <w:ind w:firstLine="288"/>
        <w:jc w:val="both"/>
      </w:pPr>
      <w:bookmarkStart w:id="43" w:name="SYNC_EN_methods_statistics_p01"/>
      <w:r>
        <w:rPr>
          <w:rFonts w:ascii="Times New Roman" w:hAnsi="Times New Roman"/>
          <w:sz w:val="20"/>
        </w:rPr>
        <w:t>Paired user-level bootstrap intervals [25] describe evaluation-sample uncertainty for the fixed seed42 Y96 and M1-Y96 models. Predictions share targets; users are resampled with replacement and all their examples enter both models’ resamples. Each resample yields the binary M1-Y minus Y96 metric difference, whose 2.5th and 97.5th percentiles form the 95% interval. These intervals support only the Y-side binary comparison; cross-task-safe M1-N ranking results are reported without bootstrap intervals.</w:t>
      </w:r>
      <w:bookmarkEnd w:id="43"/>
    </w:p>
    <w:p>
      <w:pPr>
        <w:spacing w:before="0" w:after="70" w:line="228" w:lineRule="auto"/>
        <w:ind w:firstLine="288"/>
        <w:jc w:val="both"/>
      </w:pPr>
      <w:bookmarkStart w:id="44" w:name="SYNC_EN_methods_statistics_p02"/>
      <w:r>
        <w:rPr>
          <w:rFonts w:ascii="Times New Roman" w:hAnsi="Times New Roman"/>
          <w:sz w:val="20"/>
        </w:rPr>
        <w:t>Zero-crossing Y-side intervals indicate uncertainty, not equivalence. Full trajectories use training seed42; seeds 43/44 independently replicate Y96, N96, and M1-96 at 96k on validation and frozen test under k5/k20/k50. Cross-task-safe ranking summaries report point estimates, equalweight means, sample SD with n=3 and ddof=1, and per-seed directions. They describe training-run variability, not confidence intervals, significance, equivalence, or a multi-seed trajectory. Candidate-generation seed42 is recorded separately from the three training seeds.</w:t>
      </w:r>
      <w:bookmarkEnd w:id="44"/>
    </w:p>
    <w:p>
      <w:pPr>
        <w:keepNext/>
        <w:spacing w:before="160" w:after="80"/>
        <w:jc w:val="center"/>
      </w:pPr>
      <w:bookmarkStart w:id="87" w:name="SYNC_EN_heading_6"/>
      <w:r>
        <w:rPr>
          <w:rFonts w:ascii="Times New Roman" w:hAnsi="Times New Roman"/>
          <w:b w:val="0"/>
          <w:sz w:val="20"/>
        </w:rPr>
        <w:t>VI. RESULTS</w:t>
      </w:r>
      <w:bookmarkEnd w:id="87"/>
    </w:p>
    <w:p>
      <w:pPr>
        <w:spacing w:before="0" w:after="70" w:line="228" w:lineRule="auto"/>
        <w:ind w:firstLine="288"/>
        <w:jc w:val="both"/>
      </w:pPr>
      <w:bookmarkStart w:id="45" w:name="SYNC_EN_results_p01"/>
      <w:r>
        <w:rPr>
          <w:rFonts w:ascii="Times New Roman" w:hAnsi="Times New Roman"/>
          <w:sz w:val="20"/>
        </w:rPr>
        <w:t>We first compare the capabilities measured under Y and N, then examine exposure response, specialist-multitask relationships, candidate protocols, and the N-SASRec comparison. MovieLens supplies the full seed42 trajectories and independent seed43/44 replications at 96k. Validation guided decisions; frozen-test results are report-only held-out evidence. Amazon provides an earlier-point ranking-side check.</w:t>
      </w:r>
      <w:bookmarkEnd w:id="45"/>
    </w:p>
    <w:p>
      <w:pPr>
        <w:keepNext/>
        <w:spacing w:before="120" w:after="60"/>
        <w:jc w:val="left"/>
      </w:pPr>
      <w:r>
        <w:rPr>
          <w:rFonts w:ascii="Times New Roman" w:hAnsi="Times New Roman"/>
          <w:i/>
          <w:sz w:val="20"/>
        </w:rPr>
        <w:t>A. Different Supervision and Observed Recommendation Capabilities</w:t>
      </w:r>
    </w:p>
    <w:p>
      <w:pPr>
        <w:spacing w:before="0" w:after="70" w:line="228" w:lineRule="auto"/>
        <w:ind w:firstLine="288"/>
        <w:jc w:val="both"/>
      </w:pPr>
      <w:bookmarkStart w:id="46" w:name="SYNC_EN_results_rq1_p01"/>
      <w:r>
        <w:rPr>
          <w:rFonts w:ascii="Times New Roman" w:hAnsi="Times New Roman"/>
          <w:sz w:val="20"/>
        </w:rPr>
        <w:t>Y and N show distinct measured capability profiles. Y96 reaches 0.7844 validation AUC on native MovieLens preference prediction. Through the P(Yes) bridge, its PopMatch-k5 validation HR@1 is 0.2211, compared with 0.6238 for N96 at the same nominal task-sample exposure. Native preference metrics, the Y-as-ranker trajectory, and validation/frozen-test Y96-N96 endpoints appear in Table IV.</w:t>
      </w:r>
      <w:bookmarkEnd w:id="46"/>
    </w:p>
    <w:p>
      <w:pPr>
        <w:sectPr>
          <w:type w:val="continuous"/>
          <w:pgSz w:w="12240" w:h="15840"/>
          <w:pgMar w:top="1080" w:right="893" w:bottom="1440" w:left="893" w:header="720" w:footer="720" w:gutter="0"/>
          <w:cols w:num="2" w:space="360"/>
          <w:docGrid w:linePitch="360"/>
        </w:sectPr>
      </w:pPr>
    </w:p>
    <w:p>
      <w:pPr>
        <w:keepNext/>
        <w:spacing w:before="160" w:after="80"/>
        <w:jc w:val="center"/>
      </w:pPr>
      <w:bookmarkStart w:id="94" w:name="SYNC_EN_table_caption_4"/>
      <w:r>
        <w:rPr>
          <w:rFonts w:ascii="Times New Roman" w:hAnsi="Times New Roman"/>
          <w:sz w:val="16"/>
        </w:rPr>
        <w:t>TABLE IV MovieLens seed42 supervision profiles. Panel A reports Y-native preference metrics across validation exposure and the held-out Y96 endpoint. Panel B reports PopMatch-k5 Y-as-ranker validation exposure, the Y96/N96 validation contrast, and frozen-test endpoints. AUC/F1/accuracy and HR@1/NDCG@5/MRR belong to different interfaces and are not compared numerically across panels.</w:t>
      </w:r>
      <w:bookmarkEnd w:id="94"/>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943"/>
        <w:gridCol w:w="943"/>
        <w:gridCol w:w="943"/>
        <w:gridCol w:w="943"/>
        <w:gridCol w:w="943"/>
        <w:gridCol w:w="943"/>
        <w:gridCol w:w="943"/>
        <w:gridCol w:w="943"/>
        <w:gridCol w:w="943"/>
        <w:gridCol w:w="943"/>
        <w:gridCol w:w="943"/>
      </w:tblGrid>
      <w:tr>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Panel</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Exposure</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Interface</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1</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1</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2</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2</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3</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3</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0.77613</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0.77917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0.71909</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0.78161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0.78484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0.72304</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0.78435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0.77832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0.72353</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0.78535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0.77802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0.72211</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0.21568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0.60027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0.47041</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0.21656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0.59946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0.46948</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0.22115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0.60307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0.47418</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N-native ranking</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0.62379</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0.83029</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0.77324</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0.20652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0.59216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0.46005</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N-native ranking</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0.61004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0.82190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0.76220</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bookmarkStart w:id="47" w:name="SYNC_EN_results_rq1_p02"/>
      <w:r>
        <w:rPr>
          <w:rFonts w:ascii="Times New Roman" w:hAnsi="Times New Roman"/>
          <w:sz w:val="20"/>
        </w:rPr>
        <w:t>This contrast separates rating-derived preference discrimination from selecting the next observed event. Because target construction, task data, prompts, and scoring interfaces differ jointly, it compares complete supervision formulations rather than isolating one semantic cause.</w:t>
      </w:r>
      <w:bookmarkEnd w:id="47"/>
    </w:p>
    <w:p>
      <w:pPr>
        <w:keepNext/>
        <w:spacing w:before="120" w:after="60"/>
        <w:jc w:val="left"/>
      </w:pPr>
      <w:r>
        <w:rPr>
          <w:rFonts w:ascii="Times New Roman" w:hAnsi="Times New Roman"/>
          <w:i/>
          <w:sz w:val="20"/>
        </w:rPr>
        <w:t>B. Task-Specific Response to Training Exposure</w:t>
      </w:r>
    </w:p>
    <w:p>
      <w:pPr>
        <w:spacing w:before="0" w:after="70" w:line="228" w:lineRule="auto"/>
        <w:ind w:firstLine="288"/>
        <w:jc w:val="both"/>
      </w:pPr>
      <w:bookmarkStart w:id="48" w:name="SYNC_EN_results_rq2_p01"/>
      <w:r>
        <w:rPr>
          <w:rFonts w:ascii="Times New Roman" w:hAnsi="Times New Roman"/>
          <w:sz w:val="20"/>
        </w:rPr>
        <w:t>Y-native validation AUC rises from 0.7761 at 24k to 0.7844 at 96k. F1 and the Y-as-ranker metrics do not improve uniformly, so the measured Y response is limited or uneven rather than demonstrably saturated.</w:t>
      </w:r>
      <w:bookmarkEnd w:id="48"/>
    </w:p>
    <w:p>
      <w:pPr>
        <w:spacing w:before="0" w:after="70" w:line="228" w:lineRule="auto"/>
        <w:ind w:firstLine="288"/>
        <w:jc w:val="both"/>
      </w:pPr>
      <w:bookmarkStart w:id="49" w:name="SYNC_EN_results_rq2_p02"/>
      <w:r>
        <w:rPr>
          <w:rFonts w:ascii="Times New Roman" w:hAnsi="Times New Roman"/>
          <w:sz w:val="20"/>
        </w:rPr>
        <w:t>N-native PopMatch-k5 validation HR@1 rises from 0.5774 at N24 to 0.6516 at N200, an absolute gain of 0.0742; the test trajectory has the same direction. Figure 1 shows the validation trend, while Table V retains the exact HR@1 values for both splits.</w:t>
      </w:r>
      <w:bookmarkEnd w:id="49"/>
    </w:p>
    <w:p>
      <w:pPr>
        <w:sectPr>
          <w:type w:val="continuous"/>
          <w:pgSz w:w="12240" w:h="15840"/>
          <w:pgMar w:top="1080" w:right="893" w:bottom="1440" w:left="893" w:header="720" w:footer="720" w:gutter="0"/>
          <w:cols w:num="2" w:space="360"/>
          <w:docGrid w:linePitch="360"/>
        </w:sectPr>
      </w:pPr>
    </w:p>
    <w:p>
      <w:pPr>
        <w:jc w:val="center"/>
      </w:pPr>
      <w:r>
        <w:drawing>
          <wp:inline xmlns:a="http://schemas.openxmlformats.org/drawingml/2006/main" xmlns:pic="http://schemas.openxmlformats.org/drawingml/2006/picture">
            <wp:extent cx="4937760" cy="3880527"/>
            <wp:docPr id="1" name="Picture 1"/>
            <wp:cNvGraphicFramePr>
              <a:graphicFrameLocks noChangeAspect="1"/>
            </wp:cNvGraphicFramePr>
            <a:graphic>
              <a:graphicData uri="http://schemas.openxmlformats.org/drawingml/2006/picture">
                <pic:pic>
                  <pic:nvPicPr>
                    <pic:cNvPr id="0" name="page9_img1.png"/>
                    <pic:cNvPicPr/>
                  </pic:nvPicPr>
                  <pic:blipFill>
                    <a:blip r:embed="rId9"/>
                    <a:stretch>
                      <a:fillRect/>
                    </a:stretch>
                  </pic:blipFill>
                  <pic:spPr>
                    <a:xfrm>
                      <a:off x="0" y="0"/>
                      <a:ext cx="4937760" cy="3880527"/>
                    </a:xfrm>
                    <a:prstGeom prst="rect"/>
                  </pic:spPr>
                </pic:pic>
              </a:graphicData>
            </a:graphic>
          </wp:inline>
        </w:drawing>
      </w:r>
    </w:p>
    <w:p>
      <w:pPr>
        <w:spacing w:after="120" w:before="80"/>
        <w:jc w:val="both"/>
      </w:pPr>
      <w:bookmarkStart w:id="100" w:name="SYNC_EN_figure_caption_1"/>
      <w:r>
        <w:rPr>
          <w:rFonts w:ascii="Times New Roman" w:hAnsi="Times New Roman"/>
          <w:sz w:val="16"/>
        </w:rPr>
        <w:t>Fig. 1. MovieLens seed42 PopMatch-k5 N ranking performance across the evaluated task-exposure points.</w:t>
      </w:r>
      <w:bookmarkEnd w:id="100"/>
    </w:p>
    <w:p>
      <w:pPr>
        <w:sectPr>
          <w:type w:val="continuous"/>
          <w:pgSz w:w="12240" w:h="15840"/>
          <w:pgMar w:top="1080" w:right="893" w:bottom="1440" w:left="893" w:header="720" w:footer="720" w:gutter="0"/>
          <w:cols w:num="1"/>
          <w:docGrid w:linePitch="360"/>
        </w:sectPr>
      </w:pPr>
    </w:p>
    <w:p>
      <w:pPr>
        <w:sectPr>
          <w:type w:val="continuous"/>
          <w:pgSz w:w="12240" w:h="15840"/>
          <w:pgMar w:top="1080" w:right="893" w:bottom="1440" w:left="893" w:header="720" w:footer="720" w:gutter="0"/>
          <w:cols w:num="2" w:space="360"/>
          <w:docGrid w:linePitch="360"/>
        </w:sectPr>
      </w:pPr>
    </w:p>
    <w:p>
      <w:pPr>
        <w:keepNext/>
        <w:spacing w:before="160" w:after="80"/>
        <w:jc w:val="center"/>
      </w:pPr>
      <w:bookmarkStart w:id="95" w:name="SYNC_EN_table_caption_5"/>
      <w:r>
        <w:rPr>
          <w:rFonts w:ascii="Times New Roman" w:hAnsi="Times New Roman"/>
          <w:sz w:val="16"/>
        </w:rPr>
        <w:t>TABLE V MovieLens seed42 N/SASRec ranking on validation and test sets at approximately matched task-sample exposure (HR@1).</w:t>
      </w:r>
      <w:bookmarkEnd w:id="95"/>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481"/>
        <w:gridCol w:w="1481"/>
        <w:gridCol w:w="1481"/>
        <w:gridCol w:w="1481"/>
        <w:gridCol w:w="1481"/>
        <w:gridCol w:w="1481"/>
        <w:gridCol w:w="1481"/>
      </w:tblGrid>
      <w:tr>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run</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exposure</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SASRec exposure</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HR@1</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SASRec HR@1</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 HR@1</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24064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0.57744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0.27313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0.30432</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24064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0.56123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0.29040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0.27084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48128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0.29304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0.30996</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48128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0.58696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0.30220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0.28476</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96256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0.62379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0.32811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0.29568</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96256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0.61004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0.33093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0.27912</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0.65163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0.47489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0.17674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0.62819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0.45110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0.17709</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bookmarkStart w:id="50" w:name="SYNC_EN_results_rq2_p03"/>
      <w:r>
        <w:rPr>
          <w:rFonts w:ascii="Times New Roman" w:hAnsi="Times New Roman"/>
          <w:sz w:val="20"/>
        </w:rPr>
        <w:t>Y and N therefore have different observed exposure-response profiles. This comparison concerns within-interface trajectories, not the numerical magnitudes of AUC and HR@1, and motivates matching corresponding task exposure in the specialist-multitask analysis.</w:t>
      </w:r>
      <w:bookmarkEnd w:id="50"/>
    </w:p>
    <w:p>
      <w:pPr>
        <w:keepNext/>
        <w:spacing w:before="120" w:after="60"/>
        <w:jc w:val="left"/>
      </w:pPr>
      <w:r>
        <w:rPr>
          <w:rFonts w:ascii="Times New Roman" w:hAnsi="Times New Roman"/>
          <w:i/>
          <w:sz w:val="20"/>
        </w:rPr>
        <w:t>C. Specialist and Multitask Models at Matched Per-Task Exposure</w:t>
      </w:r>
    </w:p>
    <w:p>
      <w:pPr>
        <w:spacing w:before="0" w:after="70" w:line="228" w:lineRule="auto"/>
        <w:ind w:firstLine="288"/>
        <w:jc w:val="both"/>
      </w:pPr>
      <w:bookmarkStart w:id="51" w:name="SYNC_EN_results_rq3_p01"/>
      <w:r>
        <w:rPr>
          <w:rFonts w:ascii="Times New Roman" w:hAnsi="Times New Roman"/>
          <w:sz w:val="20"/>
        </w:rPr>
        <w:t>At 96k expected exposure per task, M1 retains comparable measured Y-side preference capability across three training seeds. M1-Y validation AUC and F1 are slightly higher in each seed, whereas accuracy is lower by 0.00089 for seed44. Table VI reports the seed42 paired user bootstrap for this binary Y-side comparison: only the F1 interval is positive, while AUC and accuracy intervals cross zero. This supports capability preservation, not equivalence or positive transfer across training seeds.</w:t>
      </w:r>
      <w:bookmarkEnd w:id="51"/>
    </w:p>
    <w:p>
      <w:pPr>
        <w:sectPr>
          <w:type w:val="continuous"/>
          <w:pgSz w:w="12240" w:h="15840"/>
          <w:pgMar w:top="1080" w:right="893" w:bottom="1440" w:left="893" w:header="720" w:footer="720" w:gutter="0"/>
          <w:cols w:num="2" w:space="360"/>
          <w:docGrid w:linePitch="360"/>
        </w:sectPr>
      </w:pPr>
    </w:p>
    <w:p>
      <w:pPr>
        <w:keepNext/>
        <w:spacing w:before="160" w:after="80"/>
        <w:jc w:val="center"/>
      </w:pPr>
      <w:bookmarkStart w:id="96" w:name="SYNC_EN_table_caption_6"/>
      <w:r>
        <w:rPr>
          <w:rFonts w:ascii="Times New Roman" w:hAnsi="Times New Roman"/>
          <w:sz w:val="16"/>
        </w:rPr>
        <w:t>TABLE VI MovieLens seed42 validation paired binary differences and user-bootstrap 95% intervals for Y96 and M1-Y96. Delta is M1-Y96 minus Y96. This table supports only the Y-side preference comparison.</w:t>
      </w:r>
      <w:bookmarkEnd w:id="96"/>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Comparison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CI low</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CI high</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-0.00167</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0.00674</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0.00553</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0.01025</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0.00460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-0.00089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0.01035</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bookmarkStart w:id="52" w:name="SYNC_EN_results_rq3_p02"/>
      <w:r>
        <w:rPr>
          <w:rFonts w:ascii="Times New Roman" w:hAnsi="Times New Roman"/>
          <w:sz w:val="20"/>
        </w:rPr>
        <w:t>On the common cross-task-safe validation subset in Table VII, the seed42 standard-k5 N-specialist-M1 gap narrows from 48k to 96k per task across all three metrics. The HR@1 gap falls from +0.01072 to +0.00132; NDCG@5 and MRR show the same direction. Independent seeds 43 and 44 reproduce a small but consistently positive N advantage at 96k: Table VIII reports a three-seed validation HR@1 mean delta of +0.00708 with sample SD 0.00934 and 3/3 positive directions. The full exposure trajectory remains seed42-only.</w:t>
      </w:r>
      <w:bookmarkEnd w:id="52"/>
    </w:p>
    <w:p>
      <w:pPr>
        <w:sectPr>
          <w:type w:val="continuous"/>
          <w:pgSz w:w="12240" w:h="15840"/>
          <w:pgMar w:top="1080" w:right="893" w:bottom="1440" w:left="893" w:header="720" w:footer="720" w:gutter="0"/>
          <w:cols w:num="2" w:space="360"/>
          <w:docGrid w:linePitch="360"/>
        </w:sectPr>
      </w:pPr>
    </w:p>
    <w:p>
      <w:pPr>
        <w:keepNext/>
        <w:spacing w:before="160" w:after="80"/>
        <w:jc w:val="center"/>
      </w:pPr>
      <w:bookmarkStart w:id="97" w:name="SYNC_EN_table_caption_7"/>
      <w:r>
        <w:rPr>
          <w:rFonts w:ascii="Times New Roman" w:hAnsi="Times New Roman"/>
          <w:sz w:val="16"/>
        </w:rPr>
        <w:t>TABLE VII Seed42 common cross-task-safe PopMatch-k5 comparison. Delta is N minus M1; change is delta96 minus delta48 within each split and metric.</w:t>
      </w:r>
      <w:bookmarkEnd w:id="97"/>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296"/>
        <w:gridCol w:w="1296"/>
        <w:gridCol w:w="1296"/>
        <w:gridCol w:w="1296"/>
        <w:gridCol w:w="1296"/>
        <w:gridCol w:w="1296"/>
        <w:gridCol w:w="1296"/>
        <w:gridCol w:w="1296"/>
      </w:tblGrid>
      <w:tr>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Exp. (k)</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M1-N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 change</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0.60323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0.59252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0.01072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0.62223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0.62091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0.00132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-0.00940</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0.82000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0.81451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0.00549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0.82961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0.82784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0.00177</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-0.00372</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0.75953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0.75225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0.00728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0.77233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0.77004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0.00230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-0.00498</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0.58500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0.57561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0.00939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0.60741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0.59368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0.01373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0.00434</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0.80952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0.80499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0.00453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0.82044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0.81439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0.00605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0.00151</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0.74575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0.73974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0.00601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0.76028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0.75221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0.00807</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0.00206</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bookmarkStart w:id="53" w:name="SYNC_EN_results_rq3_p03"/>
      <w:r>
        <w:rPr>
          <w:rFonts w:ascii="Times New Roman" w:hAnsi="Times New Roman"/>
          <w:sz w:val="20"/>
        </w:rPr>
        <w:t>Frozen tests retain an N advantage in every seed at 96k. Table VIII reports a three-seed HR@1 mean delta of +0.01072 with sample SD 0.00271 and 3/3 positive directions. On the common seed42 test subset in Table VII, however, the HR@1 gap changes from +0.00939 at 48k to +0.01373 at 96k, and NDCG@5 and MRR likewise do not narrow. The validation-side exposure trajectory is therefore not reproduced on test.</w:t>
      </w:r>
      <w:bookmarkEnd w:id="53"/>
    </w:p>
    <w:p>
      <w:pPr>
        <w:keepNext/>
        <w:spacing w:before="120" w:after="60"/>
        <w:jc w:val="left"/>
      </w:pPr>
      <w:r>
        <w:rPr>
          <w:rFonts w:ascii="Times New Roman" w:hAnsi="Times New Roman"/>
          <w:i/>
          <w:sz w:val="20"/>
        </w:rPr>
        <w:t>D. Robustness under Alternative Candidate Protocols</w:t>
      </w:r>
    </w:p>
    <w:p>
      <w:pPr>
        <w:spacing w:before="0" w:after="70" w:line="228" w:lineRule="auto"/>
        <w:ind w:firstLine="288"/>
        <w:jc w:val="both"/>
      </w:pPr>
      <w:bookmarkStart w:id="54" w:name="SYNC_EN_results_rq4_p01"/>
      <w:r>
        <w:rPr>
          <w:rFonts w:ascii="Times New Roman" w:hAnsi="Times New Roman"/>
          <w:sz w:val="20"/>
        </w:rPr>
        <w:t>At 96k, k20 produces the largest N-specialist-M1 gap among the three evaluated protocols. The cross-task-safe three-seed summary in Table VIII gives HR@1 mean deltas of +0.08042 on validation and +0.07678 on frozen test. Across k5, k20, and k50, all 54 seed-level deltas are positive and all 18 protocol-split-metric summaries have 3/3 positive seed directions.</w:t>
      </w:r>
      <w:bookmarkEnd w:id="54"/>
    </w:p>
    <w:p>
      <w:pPr>
        <w:sectPr>
          <w:type w:val="continuous"/>
          <w:pgSz w:w="12240" w:h="15840"/>
          <w:pgMar w:top="1080" w:right="893" w:bottom="1440" w:left="893" w:header="720" w:footer="720" w:gutter="0"/>
          <w:cols w:num="2" w:space="360"/>
          <w:docGrid w:linePitch="360"/>
        </w:sectPr>
      </w:pPr>
    </w:p>
    <w:p>
      <w:pPr>
        <w:keepNext/>
        <w:spacing w:before="160" w:after="80"/>
        <w:jc w:val="center"/>
      </w:pPr>
      <w:bookmarkStart w:id="98" w:name="SYNC_EN_table_caption_8"/>
      <w:r>
        <w:rPr>
          <w:rFonts w:ascii="Times New Roman" w:hAnsi="Times New Roman"/>
          <w:sz w:val="16"/>
        </w:rPr>
        <w:t>TABLE VIII Cross-task-safe 96k N96-M1-N ranking deltas for training seeds 42/43/44. Mean and sample SD use n=3 and ddof=1; signs follow seed order. These are descriptive summaries. Protocols are separate and non-nested.</w:t>
      </w:r>
      <w:bookmarkEnd w:id="98"/>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481"/>
        <w:gridCol w:w="1481"/>
        <w:gridCol w:w="1481"/>
        <w:gridCol w:w="1481"/>
        <w:gridCol w:w="1481"/>
        <w:gridCol w:w="1481"/>
        <w:gridCol w:w="1481"/>
      </w:tblGrid>
      <w:tr>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Protocol</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Mean</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SD</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Signs 42/43/44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0.00708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0.00934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0.00345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0.00288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0.00461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0.01072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0.00271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0.00066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0.00093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0.08042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0.02971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0.11826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0.01135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0.08724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0.07678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0.03492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0.11573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0.08441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0.02143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0.00990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0.01457</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0.01310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0.01830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0.00731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0.00444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0.01418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0.01223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0.01806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0.00597</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bookmarkStart w:id="55" w:name="SYNC_EN_results_rq4_p02"/>
      <w:r>
        <w:rPr>
          <w:rFonts w:ascii="Times New Roman" w:hAnsi="Times New Roman"/>
          <w:sz w:val="20"/>
        </w:rPr>
        <w:t>k50 also favors N across seeds, with three-seed HR@1 mean deltas of +0.00990 on validation and +0.01048 on test, but its relation to k5 is metric dependent. For seed43 test, k50 is smaller than k5 for HR@1 (+0.00560 versus +0.00849) and NDCG@5 (+0.00450 versus +0.00489), while its MRR delta is larger. k5 is popularity matched, whereas k20/k50 are random and all three protocols are separately constructed and non-nested. Candidate count, composition, sampling, and difficulty therefore vary jointly; the evidence establishes protocol dependence, not a causal or monotonic candidate-size effect.</w:t>
      </w:r>
      <w:bookmarkEnd w:id="55"/>
    </w:p>
    <w:p>
      <w:pPr>
        <w:keepNext/>
        <w:spacing w:before="120" w:after="60"/>
        <w:jc w:val="left"/>
      </w:pPr>
      <w:r>
        <w:rPr>
          <w:rFonts w:ascii="Times New Roman" w:hAnsi="Times New Roman"/>
          <w:i/>
          <w:sz w:val="20"/>
        </w:rPr>
        <w:t>E. Exposure-Aware Comparison with SASRec</w:t>
      </w:r>
    </w:p>
    <w:p>
      <w:pPr>
        <w:spacing w:before="0" w:after="70" w:line="228" w:lineRule="auto"/>
        <w:ind w:firstLine="288"/>
        <w:jc w:val="both"/>
      </w:pPr>
      <w:bookmarkStart w:id="56" w:name="SYNC_EN_results_rq5_p01"/>
      <w:r>
        <w:rPr>
          <w:rFonts w:ascii="Times New Roman" w:hAnsi="Times New Roman"/>
          <w:sz w:val="20"/>
        </w:rPr>
        <w:t>N-trained LlamaRec leads SASRec at all four approximately matched seed42 downstream task-sample exposure points. On validation, the HR@1 gap narrows from +0.2957 at 96k to +0.1767 at 200k. Table V retains exact exposures and validation/frozen-test values; Figure 2 shows the validation trajectories.</w:t>
      </w:r>
      <w:bookmarkEnd w:id="56"/>
    </w:p>
    <w:p>
      <w:pPr>
        <w:sectPr>
          <w:type w:val="continuous"/>
          <w:pgSz w:w="12240" w:h="15840"/>
          <w:pgMar w:top="1080" w:right="893" w:bottom="1440" w:left="893" w:header="720" w:footer="720" w:gutter="0"/>
          <w:cols w:num="2" w:space="360"/>
          <w:docGrid w:linePitch="360"/>
        </w:sectPr>
      </w:pPr>
    </w:p>
    <w:p>
      <w:pPr>
        <w:jc w:val="center"/>
      </w:pPr>
      <w:r>
        <w:drawing>
          <wp:inline xmlns:a="http://schemas.openxmlformats.org/drawingml/2006/main" xmlns:pic="http://schemas.openxmlformats.org/drawingml/2006/picture">
            <wp:extent cx="5486400" cy="3812121"/>
            <wp:docPr id="2" name="Picture 2"/>
            <wp:cNvGraphicFramePr>
              <a:graphicFrameLocks noChangeAspect="1"/>
            </wp:cNvGraphicFramePr>
            <a:graphic>
              <a:graphicData uri="http://schemas.openxmlformats.org/drawingml/2006/picture">
                <pic:pic>
                  <pic:nvPicPr>
                    <pic:cNvPr id="0" name="page12_img1.png"/>
                    <pic:cNvPicPr/>
                  </pic:nvPicPr>
                  <pic:blipFill>
                    <a:blip r:embed="rId10"/>
                    <a:stretch>
                      <a:fillRect/>
                    </a:stretch>
                  </pic:blipFill>
                  <pic:spPr>
                    <a:xfrm>
                      <a:off x="0" y="0"/>
                      <a:ext cx="5486400" cy="3812121"/>
                    </a:xfrm>
                    <a:prstGeom prst="rect"/>
                  </pic:spPr>
                </pic:pic>
              </a:graphicData>
            </a:graphic>
          </wp:inline>
        </w:drawing>
      </w:r>
    </w:p>
    <w:p>
      <w:pPr>
        <w:spacing w:after="120" w:before="80"/>
        <w:jc w:val="both"/>
      </w:pPr>
      <w:bookmarkStart w:id="101" w:name="SYNC_EN_figure_caption_2"/>
      <w:r>
        <w:rPr>
          <w:rFonts w:ascii="Times New Roman" w:hAnsi="Times New Roman"/>
          <w:sz w:val="16"/>
        </w:rPr>
        <w:t>Fig. 2. MovieLens seed42 PopMatch-k5 validation HR@1 at approximately matched task-sample exposure. The N-K0 legend denotes the N24/N48/N96/N200 series.</w:t>
      </w:r>
      <w:bookmarkEnd w:id="101"/>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bookmarkStart w:id="57" w:name="SYNC_EN_results_rq5_p02"/>
      <w:r>
        <w:rPr>
          <w:rFonts w:ascii="Times New Roman" w:hAnsi="Times New Roman"/>
          <w:sz w:val="20"/>
        </w:rPr>
        <w:t>SASRec nevertheless improves strongly with additional supervision. The comparison therefore pairs N’s lead with the baseline’s continuing response and aligns only downstream task-sample exposure, not pretraining, tokens, updates, FLOPs, time, or end-to-end resource efficiency.</w:t>
      </w:r>
      <w:bookmarkEnd w:id="57"/>
    </w:p>
    <w:p>
      <w:pPr>
        <w:keepNext/>
        <w:spacing w:before="120" w:after="60"/>
        <w:jc w:val="left"/>
      </w:pPr>
      <w:r>
        <w:rPr>
          <w:rFonts w:ascii="Times New Roman" w:hAnsi="Times New Roman"/>
          <w:i/>
          <w:sz w:val="20"/>
        </w:rPr>
        <w:t>F. Cross-Dataset Directional Validation</w:t>
      </w:r>
    </w:p>
    <w:p>
      <w:pPr>
        <w:spacing w:before="0" w:after="70" w:line="228" w:lineRule="auto"/>
        <w:ind w:firstLine="288"/>
        <w:jc w:val="both"/>
      </w:pPr>
      <w:bookmarkStart w:id="58" w:name="SYNC_EN_results_amazon_p01"/>
      <w:r>
        <w:rPr>
          <w:rFonts w:ascii="Times New Roman" w:hAnsi="Times New Roman"/>
          <w:sz w:val="20"/>
        </w:rPr>
        <w:t>At the evaluated earlier seed42 operating points on Amazon Musical Instruments, N reaches 0.4669 HR@1 on 57,439 PopMatch-k5 test examples, compared with 0.3573 for Base, 0.2298 for Y-as-ranker, and 0.1757 for SASRec. Table IX reports these four cross-task-safe or task-specific model results with HR@1, NDCG@5, and MRR.</w:t>
      </w:r>
      <w:bookmarkEnd w:id="58"/>
    </w:p>
    <w:p>
      <w:pPr>
        <w:sectPr>
          <w:type w:val="continuous"/>
          <w:pgSz w:w="12240" w:h="15840"/>
          <w:pgMar w:top="1080" w:right="893" w:bottom="1440" w:left="893" w:header="720" w:footer="720" w:gutter="0"/>
          <w:cols w:num="2" w:space="360"/>
          <w:docGrid w:linePitch="360"/>
        </w:sectPr>
      </w:pPr>
    </w:p>
    <w:p>
      <w:pPr>
        <w:keepNext/>
        <w:spacing w:before="160" w:after="80"/>
        <w:jc w:val="center"/>
      </w:pPr>
      <w:bookmarkStart w:id="99" w:name="SYNC_EN_table_caption_9"/>
      <w:r>
        <w:rPr>
          <w:rFonts w:ascii="Times New Roman" w:hAnsi="Times New Roman"/>
          <w:sz w:val="16"/>
        </w:rPr>
        <w:t>TABLE IX Amazon Musical Instruments seed42 full-test PopMatch-k5 ranking for the evaluated earlier operating points.</w:t>
      </w:r>
      <w:bookmarkEnd w:id="99"/>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Samples</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HR@1</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NDCG@5</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MRR</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base</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0.35730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0.68295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0.57896</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0.22979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0.60997</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0.48303</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0.46688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0.74201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0.65698</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sasrec</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0.17566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0.56851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0.42952</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bookmarkStart w:id="59" w:name="SYNC_EN_results_amazon_p02"/>
      <w:r>
        <w:rPr>
          <w:rFonts w:ascii="Times New Roman" w:hAnsi="Times New Roman"/>
          <w:sz w:val="20"/>
        </w:rPr>
        <w:t>Amazon therefore provides ranking-side directional support at available earlier points, not a second exposure curve, three-seed 96k replication, hard-candidate study, or native-preference validation.</w:t>
      </w:r>
      <w:bookmarkEnd w:id="59"/>
    </w:p>
    <w:p>
      <w:pPr>
        <w:keepNext/>
        <w:spacing w:before="160" w:after="80"/>
        <w:jc w:val="center"/>
      </w:pPr>
      <w:bookmarkStart w:id="88" w:name="SYNC_EN_heading_7"/>
      <w:r>
        <w:rPr>
          <w:rFonts w:ascii="Times New Roman" w:hAnsi="Times New Roman"/>
          <w:b w:val="0"/>
          <w:sz w:val="20"/>
        </w:rPr>
        <w:t>VII. DISCUSSION</w:t>
      </w:r>
      <w:bookmarkEnd w:id="88"/>
    </w:p>
    <w:p>
      <w:pPr>
        <w:spacing w:before="0" w:after="70" w:line="228" w:lineRule="auto"/>
        <w:ind w:firstLine="288"/>
        <w:jc w:val="both"/>
      </w:pPr>
      <w:bookmarkStart w:id="60" w:name="SYNC_EN_discussion_p01"/>
      <w:r>
        <w:rPr>
          <w:rFonts w:ascii="Times New Roman" w:hAnsi="Times New Roman"/>
          <w:sz w:val="20"/>
        </w:rPr>
        <w:t>The findings tie three parts of a recommendation comparison to one another: supervision formulation defines the prediction question, task exposure locates the adaptation point, and candidate protocol defines the measured ranking conditions. Their implications differ from the numerical results and are organized below by the study’s contribution hierarchy.</w:t>
      </w:r>
      <w:bookmarkEnd w:id="60"/>
    </w:p>
    <w:p>
      <w:pPr>
        <w:keepNext/>
        <w:spacing w:before="120" w:after="60"/>
        <w:jc w:val="left"/>
      </w:pPr>
      <w:r>
        <w:rPr>
          <w:rFonts w:ascii="Times New Roman" w:hAnsi="Times New Roman"/>
          <w:i/>
          <w:sz w:val="20"/>
        </w:rPr>
        <w:t>A. Supervision Formulation and Capability Interpretation</w:t>
      </w:r>
    </w:p>
    <w:p>
      <w:pPr>
        <w:spacing w:before="0" w:after="70" w:line="228" w:lineRule="auto"/>
        <w:ind w:firstLine="288"/>
        <w:jc w:val="both"/>
      </w:pPr>
      <w:bookmarkStart w:id="61" w:name="SYNC_EN_discussion_semantics_p01"/>
      <w:r>
        <w:rPr>
          <w:rFonts w:ascii="Times New Roman" w:hAnsi="Times New Roman"/>
          <w:sz w:val="20"/>
        </w:rPr>
        <w:t>Recommendation capability is meaningful only relative to a prediction question. Y estimates rating-derived preference, whereas N selects the next observed interaction. Native preference discrimination and bridge ranking therefore assess different behavior: a model can be useful for preference while being less suited to next-event selection.</w:t>
      </w:r>
      <w:bookmarkEnd w:id="61"/>
    </w:p>
    <w:p>
      <w:pPr>
        <w:spacing w:before="0" w:after="70" w:line="228" w:lineRule="auto"/>
        <w:ind w:firstLine="288"/>
        <w:jc w:val="both"/>
      </w:pPr>
      <w:bookmarkStart w:id="62" w:name="SYNC_EN_discussion_semantics_p02"/>
      <w:r>
        <w:rPr>
          <w:rFonts w:ascii="Times New Roman" w:hAnsi="Times New Roman"/>
          <w:sz w:val="20"/>
        </w:rPr>
        <w:t>A benchmark’s target, eligible events, prompt, and scoring rule jointly determine the capability reflected by its score. Reporting native and bridge results exposes distinctions that one ranking number can hide and keeps the Y/N contrast attached to complete formulations rather than a single semantic cause.</w:t>
      </w:r>
      <w:bookmarkEnd w:id="62"/>
    </w:p>
    <w:p>
      <w:pPr>
        <w:keepNext/>
        <w:spacing w:before="120" w:after="60"/>
        <w:jc w:val="left"/>
      </w:pPr>
      <w:r>
        <w:rPr>
          <w:rFonts w:ascii="Times New Roman" w:hAnsi="Times New Roman"/>
          <w:i/>
          <w:sz w:val="20"/>
        </w:rPr>
        <w:t>B. Exposure and Specialist-Shared Modeling</w:t>
      </w:r>
    </w:p>
    <w:p>
      <w:pPr>
        <w:spacing w:before="0" w:after="70" w:line="228" w:lineRule="auto"/>
        <w:ind w:firstLine="288"/>
        <w:jc w:val="both"/>
      </w:pPr>
      <w:bookmarkStart w:id="63" w:name="SYNC_EN_discussion_exposure_p01"/>
      <w:r>
        <w:rPr>
          <w:rFonts w:ascii="Times New Roman" w:hAnsi="Times New Roman"/>
          <w:sz w:val="20"/>
        </w:rPr>
        <w:t>Exposure locates a comparison along the observed adaptation trajectory. Seed42 shows continued N improvement but limited or uneven Y gains, so an early checkpoint need not describe the later model relationship. Treating task exposure as an experimental variable prevents an operating point from being mistaken for a stable property of the task.</w:t>
      </w:r>
      <w:bookmarkEnd w:id="63"/>
    </w:p>
    <w:p>
      <w:pPr>
        <w:spacing w:before="0" w:after="70" w:line="228" w:lineRule="auto"/>
        <w:ind w:firstLine="288"/>
        <w:jc w:val="both"/>
      </w:pPr>
      <w:bookmarkStart w:id="64" w:name="SYNC_EN_discussion_exposure_p02"/>
      <w:r>
        <w:rPr>
          <w:rFonts w:ascii="Times New Roman" w:hAnsi="Times New Roman"/>
          <w:sz w:val="20"/>
        </w:rPr>
        <w:t>Task-specific accounting distinguishes M1’s total exposure from the supervision allocated to each interface and makes SASRec comparisons interpretable across batch sizes. This axis is cumulative downstream consumption, including repetitions, rather than unique data or computation. Stating it beside performance makes the budget condition of each advantage visible.</w:t>
      </w:r>
      <w:bookmarkEnd w:id="64"/>
    </w:p>
    <w:p>
      <w:pPr>
        <w:spacing w:before="0" w:after="70" w:line="228" w:lineRule="auto"/>
        <w:ind w:firstLine="288"/>
        <w:jc w:val="both"/>
      </w:pPr>
      <w:bookmarkStart w:id="65" w:name="SYNC_EN_discussion_exposure_p03"/>
      <w:r>
        <w:rPr>
          <w:rFonts w:ascii="Times New Roman" w:hAnsi="Times New Roman"/>
          <w:sz w:val="20"/>
        </w:rPr>
        <w:t>The standard-k5 validation trajectory and independent 96k replications together show that specialist-shared relations are conditional on adaptation point. M1 retains comparable Y-side capability at 96k, while frozen tests still favor N. A shared adapter should therefore be assessed by capability retained at a stated exposure and protocol, not by an unconditional success/failure label. The full trajectory remains seed42-only.</w:t>
      </w:r>
      <w:bookmarkEnd w:id="65"/>
    </w:p>
    <w:p>
      <w:pPr>
        <w:keepNext/>
        <w:spacing w:before="120" w:after="60"/>
        <w:jc w:val="left"/>
      </w:pPr>
      <w:r>
        <w:rPr>
          <w:rFonts w:ascii="Times New Roman" w:hAnsi="Times New Roman"/>
          <w:i/>
          <w:sz w:val="20"/>
        </w:rPr>
        <w:t>C. Candidate Protocol and Comparison Scope</w:t>
      </w:r>
    </w:p>
    <w:p>
      <w:pPr>
        <w:spacing w:before="0" w:after="70" w:line="228" w:lineRule="auto"/>
        <w:ind w:firstLine="288"/>
        <w:jc w:val="both"/>
      </w:pPr>
      <w:bookmarkStart w:id="66" w:name="SYNC_EN_discussion_protocol_p01"/>
      <w:r>
        <w:rPr>
          <w:rFonts w:ascii="Times New Roman" w:hAnsi="Times New Roman"/>
          <w:sz w:val="20"/>
        </w:rPr>
        <w:t>At 96k, k20 exposes a larger N advantage than standard k5, whereas k50 is smaller than k20 and not uniformly larger than k5. A standard-k5 result alone therefore cannot characterize specialist performance retained under other candidate conditions. The relation is protocol-conditioned, not monotonic in candidate count.</w:t>
      </w:r>
      <w:bookmarkEnd w:id="66"/>
    </w:p>
    <w:p>
      <w:pPr>
        <w:spacing w:before="0" w:after="70" w:line="228" w:lineRule="auto"/>
        <w:ind w:firstLine="288"/>
        <w:jc w:val="both"/>
      </w:pPr>
      <w:bookmarkStart w:id="67" w:name="SYNC_EN_discussion_protocol_p02"/>
      <w:r>
        <w:rPr>
          <w:rFonts w:ascii="Times New Roman" w:hAnsi="Times New Roman"/>
          <w:sz w:val="20"/>
        </w:rPr>
        <w:t>Fixed candidates within a protocol support paired model comparison, while cross-protocol differences describe sensitivity to evaluated conditions. Because the sets are independently constructed and non-nested, count, composition, sampling, and difficulty change jointly. This separates within-protocol evidence from unsupported candidate-count causality.</w:t>
      </w:r>
      <w:bookmarkEnd w:id="67"/>
    </w:p>
    <w:p>
      <w:pPr>
        <w:keepNext/>
        <w:spacing w:before="120" w:after="60"/>
        <w:jc w:val="left"/>
      </w:pPr>
      <w:r>
        <w:rPr>
          <w:rFonts w:ascii="Times New Roman" w:hAnsi="Times New Roman"/>
          <w:i/>
          <w:sz w:val="20"/>
        </w:rPr>
        <w:t>D. Exposure-Aligned Cross-Model Baseline Comparison</w:t>
      </w:r>
    </w:p>
    <w:p>
      <w:pPr>
        <w:spacing w:before="0" w:after="70" w:line="228" w:lineRule="auto"/>
        <w:ind w:firstLine="288"/>
        <w:jc w:val="both"/>
      </w:pPr>
      <w:bookmarkStart w:id="68" w:name="SYNC_EN_discussion_baseline_p01"/>
      <w:r>
        <w:rPr>
          <w:rFonts w:ascii="Times New Roman" w:hAnsi="Times New Roman"/>
          <w:sz w:val="20"/>
        </w:rPr>
        <w:t>Across four approximately matched seed42 points, N leads the evaluated SASRec baseline, while SASRec improves substantially and narrows the largest-exposure gap. The former describes performance under limited downstream task supervision; the latter describes the baseline’s response to receiving more supervision. Both are needed to interpret the cross-model comparison.</w:t>
      </w:r>
      <w:bookmarkEnd w:id="68"/>
    </w:p>
    <w:p>
      <w:pPr>
        <w:spacing w:before="0" w:after="70" w:line="228" w:lineRule="auto"/>
        <w:ind w:firstLine="288"/>
        <w:jc w:val="both"/>
      </w:pPr>
      <w:bookmarkStart w:id="69" w:name="SYNC_EN_discussion_baseline_p02"/>
      <w:r>
        <w:rPr>
          <w:rFonts w:ascii="Times New Roman" w:hAnsi="Times New Roman"/>
          <w:sz w:val="20"/>
        </w:rPr>
        <w:t>Task-sample exposure is a useful but partial cross-model axis. It describes adaptation from the LLM’s pretrained starting point and does not match pretraining, tokens, updates, FLOPs, time, serving, or deployment cost. The evidence supports an exposure-aligned performance comparison, not general resource efficiency.</w:t>
      </w:r>
      <w:bookmarkEnd w:id="69"/>
    </w:p>
    <w:p>
      <w:pPr>
        <w:spacing w:before="0" w:after="70" w:line="228" w:lineRule="auto"/>
        <w:ind w:firstLine="288"/>
        <w:jc w:val="both"/>
      </w:pPr>
      <w:bookmarkStart w:id="70" w:name="SYNC_EN_discussion_external_p01"/>
      <w:r>
        <w:rPr>
          <w:rFonts w:ascii="Times New Roman" w:hAnsi="Times New Roman"/>
          <w:sz w:val="20"/>
        </w:rPr>
        <w:t>MovieLens supplies the detailed within-domain exposure and protocol analysis, whereas Amazon checks ranking directions only at available earlier seed42 points. The two domains therefore provide complementary detailed and directional evidence; untested cross-domain trajectories remain outside the present claims.</w:t>
      </w:r>
      <w:bookmarkEnd w:id="70"/>
    </w:p>
    <w:p>
      <w:pPr>
        <w:spacing w:before="0" w:after="70" w:line="228" w:lineRule="auto"/>
        <w:ind w:firstLine="288"/>
        <w:jc w:val="both"/>
      </w:pPr>
      <w:bookmarkStart w:id="71" w:name="SYNC_EN_discussion_synthesis_p01"/>
      <w:r>
        <w:rPr>
          <w:rFonts w:ascii="Times New Roman" w:hAnsi="Times New Roman"/>
          <w:sz w:val="20"/>
        </w:rPr>
        <w:t>Recommendation capability and relative performance should thus be interpreted within the evaluated formulation, cumulative per-task exposure, and candidate protocol. The cross-model trajectory adds that an observed N advantage can coexist with continued improvement of the sequential baseline.</w:t>
      </w:r>
      <w:bookmarkEnd w:id="71"/>
    </w:p>
    <w:p>
      <w:pPr>
        <w:keepNext/>
        <w:spacing w:before="160" w:after="80"/>
        <w:jc w:val="center"/>
      </w:pPr>
      <w:bookmarkStart w:id="89" w:name="SYNC_EN_heading_8"/>
      <w:r>
        <w:rPr>
          <w:rFonts w:ascii="Times New Roman" w:hAnsi="Times New Roman"/>
          <w:b w:val="0"/>
          <w:sz w:val="20"/>
        </w:rPr>
        <w:t>VIII. LIMITATIONS</w:t>
      </w:r>
      <w:bookmarkEnd w:id="89"/>
    </w:p>
    <w:p>
      <w:pPr>
        <w:spacing w:before="0" w:after="70" w:line="228" w:lineRule="auto"/>
        <w:ind w:firstLine="288"/>
        <w:jc w:val="both"/>
      </w:pPr>
      <w:bookmarkStart w:id="72" w:name="SYNC_EN_limitations_training_p01"/>
      <w:r>
        <w:rPr>
          <w:rFonts w:ascii="Times New Roman" w:hAnsi="Times New Roman"/>
          <w:sz w:val="20"/>
        </w:rPr>
        <w:t>Only the 96k operating point has independent training seeds 42/43/44; full MovieLens trajectories remain seed42-only. Cross-task-safe ranking means and sample SD describe n=3 training-run variability and have no bootstrap intervals, whereas the retained seed42 paired bootstrap describes evaluation-sample uncertainty only for the fixed Y-side models. Neither establishes cross-seed significance. Validation guided selection and frozen test provides held-out reporting. No equivalence margin or allcomparison multiplicity adjustment was used. Behavior beyond Y96/N200 is unknown, and exposure changes coverage and optimization history together. M1 per-task counts are schedule expectations conditional on correct resume skipping, without a retained per-example trace.</w:t>
      </w:r>
      <w:bookmarkEnd w:id="72"/>
    </w:p>
    <w:p>
      <w:pPr>
        <w:spacing w:before="0" w:after="70" w:line="228" w:lineRule="auto"/>
        <w:ind w:firstLine="288"/>
        <w:jc w:val="both"/>
      </w:pPr>
      <w:bookmarkStart w:id="73" w:name="SYNC_EN_limitations_evaluation_p01"/>
      <w:r>
        <w:rPr>
          <w:rFonts w:ascii="Times New Roman" w:hAnsi="Times New Roman"/>
          <w:sz w:val="20"/>
        </w:rPr>
        <w:t>Shared-model ranking comparisons use high-coverage cross-task-safe subsets rather than the entire N holdouts because Y and N use different task-specific temporal splits. This evaluation-side restriction ensures that an N target is not exposed through the shared adapter’s Y-training stream; M1 was not trained under a joint temporal cutoff. Retained coverage ranges from 93.71% to 98.68%, so the conclusions apply to these retained populations. PopMatch-k5 and random k20/k50 are non-nested: count, composition, sampling, and difficulty vary jointly. PopMatch uses full-corpus popularity retrospectively, and sampled ranking is not exhaustive full-catalog evaluation.</w:t>
      </w:r>
      <w:bookmarkEnd w:id="73"/>
    </w:p>
    <w:p>
      <w:pPr>
        <w:spacing w:before="0" w:after="70" w:line="228" w:lineRule="auto"/>
        <w:ind w:firstLine="288"/>
        <w:jc w:val="both"/>
      </w:pPr>
      <w:bookmarkStart w:id="74" w:name="SYNC_EN_limitations_cross_dataset_p01"/>
      <w:r>
        <w:rPr>
          <w:rFonts w:ascii="Times New Roman" w:hAnsi="Times New Roman"/>
          <w:sz w:val="20"/>
        </w:rPr>
        <w:t>Amazon support is limited to seed42 ranking directions at earlier test operating points. It does not replicate exposure trajectories, the three-seed 96k point, hard-candidate robustness, or native preference validation. Detailed exposure and protocol conclusions therefore remain specific to MovieLens.</w:t>
      </w:r>
      <w:bookmarkEnd w:id="74"/>
    </w:p>
    <w:p>
      <w:pPr>
        <w:spacing w:before="0" w:after="70" w:line="228" w:lineRule="auto"/>
        <w:ind w:firstLine="288"/>
        <w:jc w:val="both"/>
      </w:pPr>
      <w:bookmarkStart w:id="75" w:name="SYNC_EN_limitations_compute_p01"/>
      <w:r>
        <w:rPr>
          <w:rFonts w:ascii="Times New Roman" w:hAnsi="Times New Roman"/>
          <w:sz w:val="20"/>
        </w:rPr>
        <w:t>Task-sample matching does not remove resource differences. The LLM starts pretrained; SASRec learns sequence representations from recommendation data. Exposure matches neither pretraining nor tokens, updates, FLOPs, wall-clock time, serving latency, or deployment cost. Claims concern ranking under approximately matched downstream task-sample exposure in the evaluated implementations and regimes.</w:t>
      </w:r>
      <w:bookmarkEnd w:id="75"/>
    </w:p>
    <w:p>
      <w:pPr>
        <w:keepNext/>
        <w:spacing w:before="160" w:after="80"/>
        <w:jc w:val="center"/>
      </w:pPr>
      <w:bookmarkStart w:id="90" w:name="SYNC_EN_heading_9"/>
      <w:r>
        <w:rPr>
          <w:rFonts w:ascii="Times New Roman" w:hAnsi="Times New Roman"/>
          <w:b w:val="0"/>
          <w:sz w:val="20"/>
        </w:rPr>
        <w:t>IX. CONCLUSION</w:t>
      </w:r>
      <w:bookmarkEnd w:id="90"/>
    </w:p>
    <w:p>
      <w:pPr>
        <w:spacing w:before="0" w:after="70" w:line="228" w:lineRule="auto"/>
        <w:ind w:firstLine="288"/>
        <w:jc w:val="both"/>
      </w:pPr>
      <w:bookmarkStart w:id="76" w:name="SYNC_EN_conclusion_p01"/>
      <w:r>
        <w:rPr>
          <w:rFonts w:ascii="Times New Roman" w:hAnsi="Times New Roman"/>
          <w:sz w:val="20"/>
        </w:rPr>
        <w:t>This study examined LLM recommendation conclusions across complete supervision formulations, cumulative downstream task-sample exposure, and candidate protocols. Within one adaptation setting, rating-derived preference (Y), next-interaction prediction (N), and a shared adapter (M1) represent different prediction capabilities rather than a causally isolated semantic contrast.</w:t>
      </w:r>
      <w:bookmarkEnd w:id="76"/>
    </w:p>
    <w:p>
      <w:pPr>
        <w:spacing w:before="0" w:after="70" w:line="228" w:lineRule="auto"/>
        <w:ind w:firstLine="288"/>
        <w:jc w:val="both"/>
      </w:pPr>
      <w:bookmarkStart w:id="77" w:name="SYNC_EN_conclusion_p02"/>
      <w:r>
        <w:rPr>
          <w:rFonts w:ascii="Times New Roman" w:hAnsi="Times New Roman"/>
          <w:sz w:val="20"/>
        </w:rPr>
        <w:t>On the common cross-task-safe subset, the seed42 specialist-M1 validation gap narrows from 48k to 96k across all three ranking metrics, while the test subset does not reproduce that narrowing. Independent seeds replicate only the 96k operating point, where ranking consistently favors N and M1 preserves comparable Y-side capability. Thus, specialist-shared performance is exposure and protocol conditioned rather than universally equivalent. Across four approximately matched downstream exposure points, N-trained LlamaRec leads SASRec, but SASRec continues improving and narrows the later gap; this is a task-sample exposure comparison, not a resource-efficiency claim.</w:t>
      </w:r>
      <w:bookmarkEnd w:id="77"/>
    </w:p>
    <w:p>
      <w:pPr>
        <w:spacing w:before="0" w:after="70" w:line="228" w:lineRule="auto"/>
        <w:ind w:firstLine="288"/>
        <w:jc w:val="both"/>
      </w:pPr>
      <w:bookmarkStart w:id="78" w:name="SYNC_EN_conclusion_p03"/>
      <w:r>
        <w:rPr>
          <w:rFonts w:ascii="Times New Roman" w:hAnsi="Times New Roman"/>
          <w:sz w:val="20"/>
        </w:rPr>
        <w:t>Claims about adapted language models for recommendation should therefore report the prediction formulation, cumulative downstream task-sample exposure, and candidate evaluation protocol together. These conditions define which capability and relative model performance the evidence supports.</w:t>
      </w:r>
      <w:bookmarkEnd w:id="78"/>
    </w:p>
    <w:p>
      <w:pPr>
        <w:keepNext/>
        <w:spacing w:before="160" w:after="80"/>
        <w:jc w:val="center"/>
      </w:pPr>
      <w:r>
        <w:rPr>
          <w:rFonts w:ascii="Times New Roman" w:hAnsi="Times New Roman"/>
          <w:b w:val="0"/>
          <w:sz w:val="20"/>
        </w:rPr>
        <w:t>REFERENCES</w:t>
      </w:r>
    </w:p>
    <w:p>
      <w:pPr>
        <w:spacing w:after="50" w:line="228" w:lineRule="auto"/>
        <w:ind w:left="173"/>
        <w:jc w:val="both"/>
      </w:pPr>
      <w:bookmarkStart w:id="102" w:name="SYNC_EN_REFERENCES"/>
      <w:r>
        <w:rPr>
          <w:rFonts w:ascii="Times New Roman" w:hAnsi="Times New Roman"/>
          <w:sz w:val="16"/>
        </w:rPr>
        <w:t>[1] Z. He, Z. Xie, R. Jha, H. Steck, D. Liang, Y. Feng, B. P. Majumder, N. Kallus, and J. McAuley, “Large language models as zero-shot conversational recommenders,” in Proceedings of the 32nd ACM International Conference on Information and Knowledge Management, 2023. [Online]. Available: https://doi.org/10.1145/3583780.3614949</w:t>
      </w:r>
      <w:bookmarkEnd w:id="102"/>
    </w:p>
    <w:p>
      <w:pPr>
        <w:spacing w:after="50" w:line="228" w:lineRule="auto"/>
        <w:ind w:left="173"/>
        <w:jc w:val="both"/>
      </w:pPr>
      <w:r>
        <w:rPr>
          <w:rFonts w:ascii="Times New Roman" w:hAnsi="Times New Roman"/>
          <w:sz w:val="16"/>
        </w:rPr>
        <w:t>[2] Y. Hou, J. Zhang, Z. Lin, H. Lu, R. Xie, J. McAuley, and W. X. Zhao, “Large language models are zero-shot rankers for recommender systems,” in Advances in Information Retrieval, 2024. [Online]. Available: https://doi.org/10.1007/978-3-031-56060-6_24</w:t>
      </w:r>
    </w:p>
    <w:p>
      <w:pPr>
        <w:spacing w:after="50" w:line="228" w:lineRule="auto"/>
        <w:ind w:left="173"/>
        <w:jc w:val="both"/>
      </w:pPr>
      <w:r>
        <w:rPr>
          <w:rFonts w:ascii="Times New Roman" w:hAnsi="Times New Roman"/>
          <w:sz w:val="16"/>
        </w:rPr>
        <w:t>[3] K. Bao, J. Zhang, Y. Zhang, W. Wang, F. Feng, and X. He, “Tallrec: An effective and eﬀicient tuning framework to align large language model with recommendation,” in Proceedings of the 17th ACM Conference on Recommender Systems, 2023. [Online]. Available: https://doi.org/10.1145/3604915.3608857</w:t>
      </w:r>
    </w:p>
    <w:p>
      <w:pPr>
        <w:spacing w:after="50" w:line="228" w:lineRule="auto"/>
        <w:ind w:left="173"/>
        <w:jc w:val="both"/>
      </w:pPr>
      <w:r>
        <w:rPr>
          <w:rFonts w:ascii="Times New Roman" w:hAnsi="Times New Roman"/>
          <w:sz w:val="16"/>
        </w:rPr>
        <w:t>[4] S. Geng, S. Liu, Z. Fu, Y. Ge, and Y. Zhang, “Recommendation as language processing (rlp): A unified pretrain, personalized prompt and predict paradigm (p5),” in Proceedings of the 16th ACM Conference on Recommender Systems, 2022, appendix C data-size analysis consulted in arXiv v7 (2023-01-02). [Online]. Available: https://doi.org/10.1145/3523227.3546767</w:t>
      </w:r>
    </w:p>
    <w:p>
      <w:pPr>
        <w:spacing w:after="50" w:line="228" w:lineRule="auto"/>
        <w:ind w:left="173"/>
        <w:jc w:val="both"/>
      </w:pPr>
      <w:r>
        <w:rPr>
          <w:rFonts w:ascii="Times New Roman" w:hAnsi="Times New Roman"/>
          <w:sz w:val="16"/>
        </w:rPr>
        <w:t>[5] Z. Zhao, W. Fan, J. Li, Y. Liu, X. Mei, Y. Wang, Z. Wen, F. Wang, X. Zhao, J. Tang, and Q. Li, “Recommender systems in the era of large language models (llms),” IEEE Transactions on Knowledge and Data Engineering, 2024. [Online]. Available: https://doi.org/10.1109/TKDE.2024.3392335</w:t>
      </w:r>
    </w:p>
    <w:p>
      <w:pPr>
        <w:spacing w:after="50" w:line="228" w:lineRule="auto"/>
        <w:ind w:left="173"/>
        <w:jc w:val="both"/>
      </w:pPr>
      <w:r>
        <w:rPr>
          <w:rFonts w:ascii="Times New Roman" w:hAnsi="Times New Roman"/>
          <w:sz w:val="16"/>
        </w:rPr>
        <w:t>[6] Y. Hu, Y. Koren, and C. Volinsky, “Collaborative filtering for implicit feedback datasets,” in 2008 Eighth IEEE International Conference on Data Mining, 2008. [Online]. Available: https://doi.org/10.1109/ICDM.2008.22</w:t>
      </w:r>
    </w:p>
    <w:p>
      <w:pPr>
        <w:spacing w:after="50" w:line="228" w:lineRule="auto"/>
        <w:ind w:left="173"/>
        <w:jc w:val="both"/>
      </w:pPr>
      <w:r>
        <w:rPr>
          <w:rFonts w:ascii="Times New Roman" w:hAnsi="Times New Roman"/>
          <w:sz w:val="16"/>
        </w:rPr>
        <w:t>[7] W.-C. Kang and J. McAuley, “Self-attentive sequential recommendation,” in 2018 IEEE International Conference on Data Mining (ICDM), 2018. [Online]. Available: https://doi.org/10.1109/ICDM.2018.00035</w:t>
      </w:r>
    </w:p>
    <w:p>
      <w:pPr>
        <w:spacing w:after="50" w:line="228" w:lineRule="auto"/>
        <w:ind w:left="173"/>
        <w:jc w:val="both"/>
      </w:pPr>
      <w:r>
        <w:rPr>
          <w:rFonts w:ascii="Times New Roman" w:hAnsi="Times New Roman"/>
          <w:sz w:val="16"/>
        </w:rPr>
        <w:t>[8] Z. Liu, X. Huang, and J. Sang, “Itdr: An instruction tuning dataset for enhancing large language models in recommendations,” 2025. [Online]. Available: https://arxiv. org/abs/2508.05667</w:t>
      </w:r>
    </w:p>
    <w:p>
      <w:pPr>
        <w:spacing w:after="50" w:line="228" w:lineRule="auto"/>
        <w:ind w:left="173"/>
        <w:jc w:val="both"/>
      </w:pPr>
      <w:r>
        <w:rPr>
          <w:rFonts w:ascii="Times New Roman" w:hAnsi="Times New Roman"/>
          <w:sz w:val="16"/>
        </w:rPr>
        <w:t>[9] W. Krichene and S. Rendle, “On sampled metrics for item recommendation,” in Proceedings of the 26th ACM SIGKDD International Conference on Knowledge Discovery and Data Mining, 2020. [Online]. Available: https://doi.org/10.1145/3394486.3403226</w:t>
      </w:r>
    </w:p>
    <w:p>
      <w:pPr>
        <w:spacing w:after="50" w:line="228" w:lineRule="auto"/>
        <w:ind w:left="173"/>
        <w:jc w:val="both"/>
      </w:pPr>
      <w:r>
        <w:rPr>
          <w:rFonts w:ascii="Times New Roman" w:hAnsi="Times New Roman"/>
          <w:sz w:val="16"/>
        </w:rPr>
        <w:t>[10] R. Cañamares and P. Castells, “On target item sampling in offline recommender system evaluation,” in Fourteenth ACM Conference on Recommender Systems, 2020. [Online]. Available: https://doi.org/10.1145/3383313.3412259</w:t>
      </w:r>
    </w:p>
    <w:p>
      <w:pPr>
        <w:spacing w:after="50" w:line="228" w:lineRule="auto"/>
        <w:ind w:left="173"/>
        <w:jc w:val="both"/>
      </w:pPr>
      <w:r>
        <w:rPr>
          <w:rFonts w:ascii="Times New Roman" w:hAnsi="Times New Roman"/>
          <w:sz w:val="16"/>
        </w:rPr>
        <w:t>[11] B. L. Pereira, A. Said, and R. L. T. Santos, “On the reliability of sampling strategies in offline recommender evaluation,” in Proceedings of the Nineteenth ACM Conference on Recommender Systems, 2025, pp. 360–369. [Online]. Available: https://doi.org/10.1145/3705328.3748086</w:t>
      </w:r>
    </w:p>
    <w:p>
      <w:pPr>
        <w:spacing w:after="50" w:line="228" w:lineRule="auto"/>
        <w:ind w:left="173"/>
        <w:jc w:val="both"/>
      </w:pPr>
      <w:r>
        <w:rPr>
          <w:rFonts w:ascii="Times New Roman" w:hAnsi="Times New Roman"/>
          <w:sz w:val="16"/>
        </w:rPr>
        <w:t>[12] G. Zhou et al., “Openonerec technical report,” 2025. [Online]. Available: https://arxiv.org/abs/2512.24762</w:t>
      </w:r>
    </w:p>
    <w:p>
      <w:pPr>
        <w:spacing w:after="50" w:line="228" w:lineRule="auto"/>
        <w:ind w:left="173"/>
        <w:jc w:val="both"/>
      </w:pPr>
      <w:r>
        <w:rPr>
          <w:rFonts w:ascii="Times New Roman" w:hAnsi="Times New Roman"/>
          <w:sz w:val="16"/>
        </w:rPr>
        <w:t>[13] G. Penha, A. Vardasbi, E. Palumbo, M. de Nadai, and H. Bouchard, “Bridging search and recommendation in gener- ative retrieval: Does one task help the other?” in Proceedings of the 18th ACM Conference on Recommender Systems, 2024. [Online]. Available: https://doi.org/10.1145/3640457.3688123</w:t>
      </w:r>
    </w:p>
    <w:p>
      <w:pPr>
        <w:spacing w:after="50" w:line="228" w:lineRule="auto"/>
        <w:ind w:left="173"/>
        <w:jc w:val="both"/>
      </w:pPr>
      <w:r>
        <w:rPr>
          <w:rFonts w:ascii="Times New Roman" w:hAnsi="Times New Roman"/>
          <w:sz w:val="16"/>
        </w:rPr>
        <w:t>[14] J. Zhang, R. Xie, Y. Hou, W. X. Zhao, L. Lin, and J.-R. Wen, “Recommendation as instruction following: A large language model empowered recommendation approach,” ACM Transactions on Information Systems, vol. 43, no. 5, pp. 1–37, 2025. [Online]. Available: https://doi.org/10.1145/3708882</w:t>
      </w:r>
    </w:p>
    <w:p>
      <w:pPr>
        <w:spacing w:after="50" w:line="228" w:lineRule="auto"/>
        <w:ind w:left="173"/>
        <w:jc w:val="both"/>
      </w:pPr>
      <w:r>
        <w:rPr>
          <w:rFonts w:ascii="Times New Roman" w:hAnsi="Times New Roman"/>
          <w:sz w:val="16"/>
        </w:rPr>
        <w:t>[15] Y. Koren, R. Bell, and C. Volinsky, “Matrix factorization techniques for recommender systems,” Computer, 2009. [Online]. Available: https://doi.org/10.1109/MC.2009.263</w:t>
      </w:r>
    </w:p>
    <w:p>
      <w:pPr>
        <w:spacing w:after="50" w:line="228" w:lineRule="auto"/>
        <w:ind w:left="173"/>
        <w:jc w:val="both"/>
      </w:pPr>
      <w:r>
        <w:rPr>
          <w:rFonts w:ascii="Times New Roman" w:hAnsi="Times New Roman"/>
          <w:sz w:val="16"/>
        </w:rPr>
        <w:t>[16] OneRec Team, “Onereason technical report,” 2026. [Online]. Available: https://arxiv.org/abs/2606.06260</w:t>
      </w:r>
    </w:p>
    <w:p>
      <w:pPr>
        <w:spacing w:after="50" w:line="228" w:lineRule="auto"/>
        <w:ind w:left="173"/>
        <w:jc w:val="both"/>
      </w:pPr>
      <w:r>
        <w:rPr>
          <w:rFonts w:ascii="Times New Roman" w:hAnsi="Times New Roman"/>
          <w:sz w:val="16"/>
        </w:rPr>
        <w:t>[17] A. Milogradskii, O. Lashinin, A. P, M. Ananyeva, and S. Kolesnikov, “Revisiting BPR: A replicability study of a common recommender system baseline,” in 18th ACM Conference on Recommender Systems, 2024, pp. 267–277. [Online]. Available: https://doi.org/10.1145/3640457.3688073</w:t>
      </w:r>
    </w:p>
    <w:p>
      <w:pPr>
        <w:spacing w:after="50" w:line="228" w:lineRule="auto"/>
        <w:ind w:left="173"/>
        <w:jc w:val="both"/>
      </w:pPr>
      <w:r>
        <w:rPr>
          <w:rFonts w:ascii="Times New Roman" w:hAnsi="Times New Roman"/>
          <w:sz w:val="16"/>
        </w:rPr>
        <w:t>[18] F. Shehzad and D. Jannach, “Revisiting the performance of graph neural networks for session-based recommendation,” in Proceedings of the Nineteenth ACM Conference on Recommender Systems, 2025, pp. 842–846. [Online]. Available: https://doi.org/10.1145/3705328.3748156</w:t>
      </w:r>
    </w:p>
    <w:p>
      <w:pPr>
        <w:spacing w:after="50" w:line="228" w:lineRule="auto"/>
        <w:ind w:left="173"/>
        <w:jc w:val="both"/>
      </w:pPr>
      <w:r>
        <w:rPr>
          <w:rFonts w:ascii="Times New Roman" w:hAnsi="Times New Roman"/>
          <w:sz w:val="16"/>
        </w:rPr>
        <w:t>[19] G. Zhang, Y. Hou, H. Lu, Y. Chen, W. X. Zhao, and J.-R. Wen, “Scaling law of large sequential recommendation models,” in 18th ACM Conference on Recommender Systems, 2024, pp. 444–453. [Online]. Available: https://doi.org/10.1145/3640457. 3688129</w:t>
      </w:r>
    </w:p>
    <w:p>
      <w:pPr>
        <w:spacing w:after="50" w:line="228" w:lineRule="auto"/>
        <w:ind w:left="173"/>
        <w:jc w:val="both"/>
      </w:pPr>
      <w:r>
        <w:rPr>
          <w:rFonts w:ascii="Times New Roman" w:hAnsi="Times New Roman"/>
          <w:sz w:val="16"/>
        </w:rPr>
        <w:t>[20] Meta, “Llama 3.2 model card,” 2024. [Online]. Available: https://github.com/meta-llama/llama-models/blob/main/models/llama3_2/MODEL_CARD.md</w:t>
      </w:r>
    </w:p>
    <w:p>
      <w:pPr>
        <w:spacing w:after="50" w:line="228" w:lineRule="auto"/>
        <w:ind w:left="173"/>
        <w:jc w:val="both"/>
      </w:pPr>
      <w:r>
        <w:rPr>
          <w:rFonts w:ascii="Times New Roman" w:hAnsi="Times New Roman"/>
          <w:sz w:val="16"/>
        </w:rPr>
        <w:t>[21] T. Dettmers, A. Pagnoni, A. Holtzman, and L. Zettlemoyer, “QLoRA: Eﬀicient finetuning of quan- tized LLMs,” in Advances in Neural Information Processing Systems, vol. 36, 2023. [Online]. Avail- able: https://proceedings.neurips.cc/paper_files/paper/2023/hash/1feb87871436031bdc0f2beaa62a049b-Abstract.html</w:t>
      </w:r>
    </w:p>
    <w:p>
      <w:pPr>
        <w:spacing w:after="50" w:line="228" w:lineRule="auto"/>
        <w:ind w:left="173"/>
        <w:jc w:val="both"/>
      </w:pPr>
      <w:r>
        <w:rPr>
          <w:rFonts w:ascii="Times New Roman" w:hAnsi="Times New Roman"/>
          <w:sz w:val="16"/>
        </w:rPr>
        <w:t>[22] E. J. Hu, Y. Shen, P. Wallis, Z. Allen-Zhu, Y. Li, S. Wang, L. Wang, and W. Chen, “LoRA: Low-rank adaptation of large language models,” in International Conference on Learning Representations, 2022. [Online]. Available: https://openreview.net/forum?id=nZeVKeeFYf9</w:t>
      </w:r>
    </w:p>
    <w:p>
      <w:pPr>
        <w:spacing w:after="50" w:line="228" w:lineRule="auto"/>
        <w:ind w:left="173"/>
        <w:jc w:val="both"/>
      </w:pPr>
      <w:r>
        <w:rPr>
          <w:rFonts w:ascii="Times New Roman" w:hAnsi="Times New Roman"/>
          <w:sz w:val="16"/>
        </w:rPr>
        <w:t>[23] F. M. Harper and J. A. Konstan, “The MovieLens datasets: History and context,” ACM Transactions on Interactive Intelligent Systems, vol. 5, no. 4, pp. 19:1–19:19, 2015. [Online]. Available: https://doi.org/10.1145/2827872</w:t>
      </w:r>
    </w:p>
    <w:p>
      <w:pPr>
        <w:spacing w:after="50" w:line="228" w:lineRule="auto"/>
        <w:ind w:left="173"/>
        <w:jc w:val="both"/>
      </w:pPr>
      <w:r>
        <w:rPr>
          <w:rFonts w:ascii="Times New Roman" w:hAnsi="Times New Roman"/>
          <w:sz w:val="16"/>
        </w:rPr>
        <w:t>[24] Y. Hou, J. Li, X. Fu, Z. He, A. Yan, X. Chen, and J. McAuley, “Bridging language and items for retrieval and recommendation: Benchmarking LLMs as semantic encoders,” in Proceedings of the 64th Annual Meeting of the Association for Computational Linguistics (Volume 1: Long Papers), 2026, pp. 3251–3265. [Online]. Available: https://aclanthology.org/2026.acl-long.147/</w:t>
      </w:r>
    </w:p>
    <w:p>
      <w:pPr>
        <w:spacing w:after="50" w:line="228" w:lineRule="auto"/>
        <w:ind w:left="173"/>
        <w:jc w:val="both"/>
      </w:pPr>
      <w:r>
        <w:rPr>
          <w:rFonts w:ascii="Times New Roman" w:hAnsi="Times New Roman"/>
          <w:sz w:val="16"/>
        </w:rPr>
        <w:t>[25] B. Efron and R. J. Tibshirani, An Introduction to the Bootstrap. New York: Chapman and Hall, 1993. [Online]. Available: https://www.routledge.com/An-Introductionto-the-Bootstrap/Efron-Tibshirani/p/book/9780412042317</w:t>
      </w:r>
    </w:p>
    <w:sectPr w:rsidR="00FC693F" w:rsidRPr="0006063C" w:rsidSect="00034616">
      <w:type w:val="continuous"/>
      <w:pgSz w:w="12240" w:h="15840"/>
      <w:pgMar w:top="1080" w:right="893" w:bottom="1440" w:left="893" w:header="720" w:footer="720" w:gutter="0"/>
      <w:cols w:num="2" w:space="360"/>
      <w:docGrid w:linePitch="3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ymbol">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宋体"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4"/>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4"/>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Style9" w:customStyle="1">
    <w:name w:val="正文文本 字符"/>
    <w:qFormat/>
    <w:rsid w:val="00e7596c"/>
    <w:rPr>
      <w:spacing w:val="-1"/>
      <w:lang w:val="x-none" w:eastAsia="x-none"/>
    </w:rPr>
  </w:style>
  <w:style w:type="character" w:styleId="Style10" w:customStyle="1">
    <w:name w:val="页眉 字符"/>
    <w:basedOn w:val="DefaultParagraphFont"/>
    <w:link w:val="Header"/>
    <w:qFormat/>
    <w:rsid w:val="001a3b3d"/>
    <w:rPr/>
  </w:style>
  <w:style w:type="character" w:styleId="Style11" w:customStyle="1">
    <w:name w:val="页脚 字符"/>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Style9"/>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宋体"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宋体"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宋体"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1"/>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bidi w:val="0"/>
      <w:spacing w:before="80" w:after="200"/>
      <w:ind w:hanging="0" w:left="0"/>
      <w:jc w:val="both"/>
    </w:pPr>
    <w:rPr>
      <w:rFonts w:ascii="Times New Roman" w:hAnsi="Times New Roman" w:eastAsia="宋体" w:cs="Times New Roman"/>
      <w:color w:val="auto"/>
      <w:kern w:val="0"/>
      <w:sz w:val="16"/>
      <w:szCs w:val="16"/>
      <w:lang w:val="en-US" w:eastAsia="en-US" w:bidi="ar-SA"/>
    </w:rPr>
  </w:style>
  <w:style w:type="paragraph" w:styleId="footnote" w:customStyle="1">
    <w:name w:val="footnote"/>
    <w:qFormat/>
    <w:pPr>
      <w:widowControl/>
      <w:numPr>
        <w:ilvl w:val="0"/>
        <w:numId w:val="3"/>
      </w:numPr>
      <w:bidi w:val="0"/>
      <w:spacing w:before="0" w:after="40"/>
      <w:jc w:val="left"/>
    </w:pPr>
    <w:rPr>
      <w:rFonts w:ascii="Times New Roman" w:hAnsi="Times New Roman" w:eastAsia="宋体"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宋体"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宋体"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宋体"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宋体"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Style10"/>
    <w:rsid w:val="001a3b3d"/>
    <w:pPr>
      <w:tabs>
        <w:tab w:val="clear" w:pos="720"/>
        <w:tab w:val="center" w:pos="4680" w:leader="none"/>
        <w:tab w:val="right" w:pos="9360" w:leader="none"/>
      </w:tabs>
    </w:pPr>
    <w:rPr/>
  </w:style>
  <w:style w:type="paragraph" w:styleId="Footer">
    <w:name w:val="footer"/>
    <w:basedOn w:val="Normal"/>
    <w:link w:val="Style11"/>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start w:w="108" w:type="dxa"/>
        <w:bottom w:w="0" w:type="dxa"/>
        <w:end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 Supervision Semantics and Exposure-Aware Evaluation for Recommendation-Tuned LLMs</dc:title>
  <dc:subject>ICECAI 2026 editable Word submission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