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LispToLi : fait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EvalLi : fait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liToASM: Ikbal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make-vm : fait mais peut être pas au point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vm-load : Niels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vm-run : Niels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ajouter le cas de la  :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soustraction (sub) 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multiplication (mult) 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division (div) 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incrementation (incr) 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decrementation (decr) 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comparaison (cmp)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cf tableau page 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Indication pour vm-load: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Prend 2 paramètres : nom de la vm et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Déclaration de variables locales: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adresse de chargement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table de hashage pour les symboles résolus globales TSR (créé dans la vm)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table de hashage pour les symboles referé en avance globales TRA (créé dans la vm)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table de hashage pour les symboles résolus locales TSR (a créer)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table de hashage pour les symboles referé en avance locales TRA (a créer)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Boucle while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instruction normales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copie en mémoire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incrémente l’adresse de chargement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label: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enregistre le symbole dans TSR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saut 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 le symbole est dans TSR alors on remplace le symbole par l’adresse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sinon on ajoute dans TRA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copie en mémoire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il faut vérifié que ltra soit vide à la fin mais je ne sais pas ou il faut le faire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fonction vm-run-instr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move : (car (cdr(premier instr))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push : cons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peut être vérifier que l’on peut mettre dans la pile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pop : cons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peut être vérifier qu’il y a un truc a dépiler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load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store : pas d’accord cf p. 62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 add: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