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Offset Amounts and Individuals by Agency (Category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152"/>
        <w:gridCol w:w="1440"/>
        <w:gridCol w:w="1728"/>
        <w:gridCol w:w="1296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Agency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Years_Appearing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Individuals Offset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Offset Amount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Unclaimed Property+Lottery Amounts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Individuals Illegally Offset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BIOLA UNIVERSITY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$12,388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 COLLEGE OF ARTS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$9,566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CHAPMAN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$75,177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$598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 SIERRA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$109,680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$222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LOMA LINDA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$134,208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$3,016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LOYOLA MARYMOUNT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$693,931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$2,941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NOTRE DAME DE NAMUR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$41,351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PEPPERDINE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$49,064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SAINT MARY'S COLLEGE OF CA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$32,650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SANTA CLARA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$38,364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STANFORD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$106,194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$1,354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UMASS GLOBAL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3,600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$2,123,801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$17,568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LA VERNE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$108,148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REDLANDS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$63,278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$960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SOUTHERN CALIFORNIA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$486,459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$9,363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VANGUARD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$23,988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WHITTIER COLLEGE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$249,990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$1,786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2026-04-13T12:07:00Z</dcterms:modified>
  <cp:category/>
</cp:coreProperties>
</file>