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Offset Amounts and Events by Private Institution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152"/>
        <w:gridCol w:w="1440"/>
        <w:gridCol w:w="1440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Agency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Years_Appearing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Offset Events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Offset Amount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Lottery + Unclaimed Property Offset Events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Lottery + Unclaimed Property Offset Amount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BIOLA UNIVERSITY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$12,388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 COLLEGE OF ARTS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$9,566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CHAPMAN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$75,177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 SIERRA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$109,680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LOMA LINDA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$134,208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$3,016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LOYOLA MARYMOUNT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$693,931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$2,941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NOTRE DAME DE NAMUR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$41,351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PEPPERDINE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$49,064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SAINT MARY'S COLLEGE OF CA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$32,650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SANTA CLARA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$38,364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STANFORD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$106,194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$1,354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UMASS GLOBAL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3,600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$2,123,801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$17,568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LA VERNE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$108,148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REDLANDS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$63,278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SOUTHERN CALIFORNIA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$486,459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$9,363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VANGUARD UNIVERSITY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$23,988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WHITTIER COLLEGE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$249,990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$1,786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2026-09-14T23:57:15Z</dcterms:modified>
  <cp:category/>
</cp:coreProperties>
</file>