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Lottery and Unclaimed Property Offset Amounts by Private Institution (Category 6)
Parentheses show number of individuals.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80"/>
        <w:gridCol w:w="596"/>
        <w:gridCol w:w="596"/>
        <w:gridCol w:w="596"/>
        <w:gridCol w:w="596"/>
        <w:gridCol w:w="596"/>
        <w:gridCol w:w="596"/>
        <w:gridCol w:w="685"/>
      </w:tblGrid>
      <w:tr>
        <w:trPr>
          <w:trHeight w:val="368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Private Institution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2018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2019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2020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2021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BIOLA UNIVERSITY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$436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$436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 COLLEGE OF ARTS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$194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$194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CHAPMAN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$562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$36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$598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 SIERRA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$26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$196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$222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LOMA LINDA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$1,952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$1,064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$3,016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LOYOLA MARYMOUNT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$163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$115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$141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$2,498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$25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$2,941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(n=8)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(n=19)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NOTRE DAME DE NAMUR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$26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$41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PEPPERDINE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$42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$42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SAINT MARY'S COLLEGE OF CA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$1,000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$1,001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SANTA CLARA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$200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STANFORD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$333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$620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$401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$1,354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(n=5)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(n=9)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UMASS GLOBAL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$4,277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$1,745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$4,388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$3,257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$2,608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$1,293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$17,568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(n=9)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(n=15)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(n=86)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UNIVERSITY OF LA VERNE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$6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$922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$928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UNIVERSITY OF REDLANDS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$813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$147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$960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(n=4)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UNIVERSITY OF SOUTHERN CALIFORNIA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$4,678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$2,960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$1,279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$445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$9,363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(n=19)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(n=15)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(n=42)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VANGUARD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$30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WHITTIER COLLEGE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$52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$1,640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$95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$1,786</w:t>
            </w:r>
          </w:p>
        </w:tc>
      </w:tr>
      <w:tr>
        <w:trPr>
          <w:trHeight w:val="382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(n=6)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(n=4)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(n=13)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2026-04-13T12:08:00Z</dcterms:modified>
  <cp:category/>
</cp:coreProperties>
</file>