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Leveraged-buyout (LBO) Activity (1985–2019)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Counts, coverage rates, and deal-value aggregates by deal windows, in 2023 dollars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1985–1989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1990–1994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1995–1999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2000–2004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2005–2009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2010–2014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2015–2019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1985–2019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i/>
              </w:rPr>
              <w:t xml:space="default">Counts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Number of LBOs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2,820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5,268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11,261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14,135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22,413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56,974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Number of targets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2,679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5,086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10,916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13,780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21,869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49,621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Number of exits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1,893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3,071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5,673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5,664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4,177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21,363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i/>
              </w:rPr>
              <w:t xml:space="default">Coverage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Prop. of LBOs with known deal size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22%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Prop. of LBOs with known exit type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37%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i/>
              </w:rPr>
              <w:t xml:space="default">Deal size distribution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Deal size P25 (2023 USD, $M)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$104M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$21M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$27M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$24M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$22M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$22M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$26M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$24M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Deal size median (2023 USD, $M)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$266M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$72M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$93M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$71M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$80M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$95M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$121M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$91M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Deal size P75 (2023 USD, $M)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$797M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$212M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$291M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$207M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$295M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$356M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$505M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$336M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i/>
              </w:rPr>
              <w:t xml:space="default">Total volume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Known total volume (2023 USD, $B)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$152B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$54B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$296B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$530B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$1,873B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$1,215B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$1,868B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$5,987B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Imputed total volume (2023 USD, $B)</w:t>
            </w:r>
            <w:r xmlns:w="http://schemas.openxmlformats.org/wordprocessingml/2006/main">
              <w:rPr>
                <w:rFonts w:ascii="Calibri" w:hAnsi="Calibri"/>
                <w:sz w:val="20"/>
                <w:b w:val="true"/>
              </w:rPr>
              <w:t xml:space="preserve"> </w:t>
            </w:r>
            <w:r>
              <w:rPr>
                <w:i/>
                <w:rFonts w:ascii="Calibri" w:hAnsi="Calibri"/>
                <w:sz w:val="20"/>
                <w:b w:val="true"/>
              </w:rPr>
              <w:t xml:space="preserve">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$210B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i/>
                <w:rFonts w:ascii="Calibri" w:hAnsi="Calibri"/>
                <w:sz w:val="20"/>
              </w:rPr>
              <w:t xml:space="preserve">[181–239]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$126B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i/>
                <w:rFonts w:ascii="Calibri" w:hAnsi="Calibri"/>
                <w:sz w:val="20"/>
              </w:rPr>
              <w:t xml:space="preserve">[103–148]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$573B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i/>
                <w:rFonts w:ascii="Calibri" w:hAnsi="Calibri"/>
                <w:sz w:val="20"/>
              </w:rPr>
              <w:t xml:space="preserve">[516–630]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$917B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i/>
                <w:rFonts w:ascii="Calibri" w:hAnsi="Calibri"/>
                <w:sz w:val="20"/>
              </w:rPr>
              <w:t xml:space="preserve">[851–983]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$2,701B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i/>
                <w:rFonts w:ascii="Calibri" w:hAnsi="Calibri"/>
                <w:sz w:val="20"/>
              </w:rPr>
              <w:t xml:space="preserve">[2630–2772]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$2,494B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i/>
                <w:rFonts w:ascii="Calibri" w:hAnsi="Calibri"/>
                <w:sz w:val="20"/>
              </w:rPr>
              <w:t xml:space="preserve">[2408–2579]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$4,444B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i/>
                <w:rFonts w:ascii="Calibri" w:hAnsi="Calibri"/>
                <w:sz w:val="20"/>
              </w:rPr>
              <w:t xml:space="preserve">[4256–4633]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$11,464B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i/>
                <w:rFonts w:ascii="Calibri" w:hAnsi="Calibri"/>
                <w:sz w:val="20"/>
              </w:rPr>
              <w:t xml:space="preserve">[11228–11700]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2026-10-09T00:16:50Z</dcterms:created>
  <dcterms:modified xsi:type="dcterms:W3CDTF">2026-10-09T00:16:50Z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