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Leveraged-buyout (LBO) Activity (1985–2019)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Counts, coverage rates, and deal-value aggregates by deal windows, in 2023 dollars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1985–1989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1990–1994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1995–1999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2000–2004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2005–2009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2010–2014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2015–2019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1985–2019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Counts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Number of LBOs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2,820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5,268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11,261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14,135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22,413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56,974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Number of targets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2,679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5,086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10,916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13,780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21,869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49,621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Number of exits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1,893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3,071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5,673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5,664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4,177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21,363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Coverage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Prop. of LBOs with known deal size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38%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35%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34%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39%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29%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21%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14%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22%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Prop. of LBOs with known exit type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82%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82%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67%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58%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50%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40%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19%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37%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Deal size distribution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Deal size P25 (2023 USD, $M)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$104M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$21M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$27M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$24M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$22M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$22M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$26M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$24M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Deal size median (2023 USD, $M)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$266M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$72M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$93M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$71M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$80M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$95M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$121M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$91M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Deal size P75 (2023 USD, $M)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$797M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$212M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$291M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$207M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$295M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$356M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$505M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$336M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Total volume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Known total volume (2023 USD, $B)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$152B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$54B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$296B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$530B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$1,873B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$1,215B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$1,868B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$5,987B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Imputed total volume (2023 USD, $B)</w:t>
            </w:r>
            <w:r xmlns:w="http://schemas.openxmlformats.org/wordprocessingml/2006/main">
              <w:rPr>
                <w:rFonts w:ascii="Calibri" w:hAnsi="Calibri"/>
                <w:sz w:val="20"/>
                <w:b w:val="true"/>
              </w:rPr>
              <w:t xml:space="preserve"> </w:t>
            </w:r>
            <w:r>
              <w:rPr>
                <w:i/>
                <w:rFonts w:ascii="Calibri" w:hAnsi="Calibri"/>
                <w:sz w:val="20"/>
                <w:b w:val="true"/>
              </w:rPr>
              <w:t xml:space="preserve">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$210B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[181–239]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$126B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[103–148]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$573B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[516–630]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$917B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[851–983]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$2,701B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[2630–2772]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$2,494B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[2408–2579]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$4,444B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[4256–4633]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$11,464B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[11228–11700]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2026-10-09T01:12:02Z</dcterms:created>
  <dcterms:modified xsi:type="dcterms:W3CDTF">2026-10-09T01:12:02Z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