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Private Funds Statistics (1985–2019)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Counts, coverage rates, and capital raised by capital commitment windows, in 2023 dollars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1985-1989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1990-1994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1995-1999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2000-2004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2005-2009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2010-2014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2015-2019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1985-2019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funds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11,523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26,764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Prop. of funds with missing $ raised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$ raised by all funds (bn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$ 122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$ 163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$ 772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$ 1,122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$ 2,589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$ 2,206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$ 4,258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$ 11,233 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$ raised per fund (m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$ 402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$ 370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$ 459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$ 496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$ 710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$ 427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$ 446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$ 488 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of $ raised in 1st yr of period (m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$ 85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$ 146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$ 139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$ 186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$ 243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$ 138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$ 95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$ 85 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75th-pct of $ raised in 1st yr of period (m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$ 189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$ 420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$ 282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$ 523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$ 595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$ 414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$ 395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$ 189 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$ raised by largest fund (m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$ 16,528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$ 4,622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$ 11,328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$ 11,448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$ 32,038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$ 23,828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$ 30,824 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$ 32,038 M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2026-10-09T00:28:13Z</dcterms:created>
  <dcterms:modified xsi:type="dcterms:W3CDTF">2026-10-09T00:28:13Z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