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为了确保团队内部培训的高效与专业，整理了这份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“AI智能体书法实验室”晚托班内部培训全案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。本方案融合了项目愿景、双师背书、教学SOP、课程大纲及销售话术，旨在统一输出标准，提升成交转化率。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r6wex1986pwt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第一部分：项目核心灵魂与教育哲学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项目定位与使命：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定位：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“文化筑底 + 科创赋能”的智慧晚托，旨在培养驾驭科技的**“数字化指挥官”** 1-3。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使命：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拒绝低效的“补短板”，致力于**“补长板”与“挖金矿”**，发掘孩子的天赋与热爱 1-6。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教学哲学：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动静结合：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用书法练定力（静），用AI练思维（动） 1-3。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化“机”为工具：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将iPad从游戏机变为“指挥棒”，把AI灵魂注入硬件身体，实现“与其禁止，不如引渡” 1-3, 7-9。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c58mhpf82ar6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第二部分：双芯驱动——专家背书与权威认可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科创领航人：曹伟勋博士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背景：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留美17年的硅谷专家，德国工程博士，IEEE会员，其课程已进入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美国300多所学校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1-3, 10-12。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硬核技术：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引入前沿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Vibe Coding（意图编程）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，只要孩子会说话就能编程序 1-3, 10-12。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官方背书：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其CDIO课程体系及器材被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上海市教委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采纳，用于全市中学生暑期夏令营 1-3, 13-15。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文化筑底人：蔡乙缇校长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背景：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出身台湾书香世家，深耕书法教育十余年，曾任Dior代理商，具备跨界美学视野 1-3, 16-18。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技术专利：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独创**“结构积木法”及“格中格”专利教具**，将汉字拆解为71个核心知识点 1-3, 19-21。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zfsvc7abr6pm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第三部分：核心教学模式（SOP基础）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AI智能体课程：CDIO 工程师法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遵循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构思 (C) - 设计 (D) - 实现 (I) - 运作 (O)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流程 13-15, 22-24。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实际案例：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第一课《会说话的蔬菜水果》，引导孩子从讨论营养（构思）到编写脚本（设计），再到连接硬件赋予灵魂（实现），最后展示成果（运作） 13-15。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专利书法课程：汉字建筑学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逻辑：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汉字不是“写”出来的，是**“搭”出来的** 19-27。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路径：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分为零件标准化、地基框架、模块化组装、脱格精装修四个阶段 19-21。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hryw0i93gyt1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第四部分：智慧晚托班运营与执行大纲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每日成长流程（15:30-20:30）：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包含到校整理、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精品作业辅导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（每日反馈知识漏洞）、营养晚餐以及AI或书法特色素质课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16周AI课程体系：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1-4周：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AI金龟子控制器（理解控制原理） 34-36。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5-10周：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AI摩天轮智能体学伴（多模块协同编程） 34-36。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11-16周：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AI瓦力机器人智能玩伴（仿生互动与复杂逻辑） 37-39。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b4d2kxuiric8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第五部分：销售策略与家长转化（内训重点）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痛点打击话术：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针对电子沉迷：“孩子不缺专注力，缺的是好玩的内容。” 22-24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针对提分刚需：上海考级提前，成绩计入成长记录册，字迹潦草可能隐性失分5-8分 16-18。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促单“三板斧”：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场景演示：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咨询位摆放动态智能体；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视觉背书：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张贴专利图及博士证书；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即刻体验：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引导孩子进行15分钟AI提问体验 22-24。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招生政策：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5000元/月；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4月限时福利：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前10名赠送价值3000元的AI与书法体验课各2节 22-24, 40-42。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内部训诫：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招生的关键在于**“可操作性”与“所见即所得”** 4-6。每位员工必须熟练掌握APP驱动机器人和CDIO流程，用自己的专业和热情去感染高认知的家长 4-6。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