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Times New Roman"/>
          <w:color w:val="auto"/>
          <w:kern w:val="21"/>
          <w:sz w:val="21"/>
          <w:szCs w:val="24"/>
          <w:lang w:val="zh-CN"/>
        </w:rPr>
        <w:id w:val="-2042735294"/>
        <w:docPartObj>
          <w:docPartGallery w:val="Table of Contents"/>
          <w:docPartUnique/>
        </w:docPartObj>
      </w:sdtPr>
      <w:sdtEndPr>
        <w:rPr>
          <w:rFonts w:ascii="Times New Roman" w:hAnsi="Times New Roman" w:eastAsia="宋体" w:cs="Times New Roman"/>
          <w:b/>
          <w:bCs/>
          <w:color w:val="auto"/>
          <w:kern w:val="21"/>
          <w:sz w:val="21"/>
          <w:szCs w:val="24"/>
          <w:lang w:val="zh-CN"/>
        </w:rPr>
      </w:sdtEndPr>
      <w:sdtContent>
        <w:p w14:paraId="5B0D744B">
          <w:pPr>
            <w:pStyle w:val="33"/>
            <w:ind w:firstLine="420"/>
          </w:pPr>
          <w:r>
            <w:rPr>
              <w:lang w:val="zh-CN"/>
            </w:rPr>
            <w:t>目录</w:t>
          </w:r>
        </w:p>
        <w:p w14:paraId="0999CC6D">
          <w:pPr>
            <w:pStyle w:val="12"/>
            <w:tabs>
              <w:tab w:val="right" w:leader="dot" w:pos="8306"/>
            </w:tabs>
          </w:pPr>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_Toc20046 </w:instrText>
          </w:r>
          <w:r>
            <w:rPr>
              <w:bCs/>
              <w:lang w:val="zh-CN"/>
            </w:rPr>
            <w:fldChar w:fldCharType="separate"/>
          </w:r>
          <w:r>
            <w:rPr>
              <w:rFonts w:hint="eastAsia" w:asciiTheme="majorEastAsia" w:hAnsiTheme="majorEastAsia" w:eastAsiaTheme="majorEastAsia"/>
              <w:kern w:val="21"/>
              <w:highlight w:val="none"/>
            </w:rPr>
            <w:t>多元统计分析作业</w:t>
          </w:r>
          <w:r>
            <w:rPr>
              <w:rFonts w:hint="eastAsia" w:ascii="Times New Roman" w:hAnsi="Times New Roman" w:eastAsiaTheme="majorEastAsia"/>
              <w:b w:val="0"/>
              <w:i w:val="0"/>
              <w:kern w:val="21"/>
              <w:highlight w:val="none"/>
              <w:lang w:val="en-US" w:eastAsia="zh-CN"/>
            </w:rPr>
            <w:t>3</w:t>
          </w:r>
          <w:r>
            <w:rPr>
              <w:rFonts w:hint="eastAsia" w:asciiTheme="majorEastAsia" w:hAnsiTheme="majorEastAsia" w:eastAsiaTheme="majorEastAsia"/>
              <w:kern w:val="21"/>
              <w:highlight w:val="none"/>
            </w:rPr>
            <w:t>：上证指数的回归分析</w:t>
          </w:r>
          <w:r>
            <w:tab/>
          </w:r>
          <w:r>
            <w:fldChar w:fldCharType="begin"/>
          </w:r>
          <w:r>
            <w:instrText xml:space="preserve"> PAGEREF _Toc20046 \h </w:instrText>
          </w:r>
          <w:r>
            <w:fldChar w:fldCharType="separate"/>
          </w:r>
          <w:r>
            <w:rPr>
              <w:rFonts w:ascii="Times New Roman" w:hAnsi="Times New Roman"/>
              <w:b w:val="0"/>
              <w:i w:val="0"/>
            </w:rPr>
            <w:t>2</w:t>
          </w:r>
          <w:r>
            <w:fldChar w:fldCharType="end"/>
          </w:r>
          <w:r>
            <w:rPr>
              <w:bCs/>
              <w:lang w:val="zh-CN"/>
            </w:rPr>
            <w:fldChar w:fldCharType="end"/>
          </w:r>
        </w:p>
        <w:p w14:paraId="0324359B">
          <w:pPr>
            <w:pStyle w:val="8"/>
            <w:tabs>
              <w:tab w:val="right" w:leader="dot" w:pos="8306"/>
            </w:tabs>
          </w:pPr>
          <w:r>
            <w:rPr>
              <w:bCs/>
              <w:lang w:val="zh-CN"/>
            </w:rPr>
            <w:fldChar w:fldCharType="begin"/>
          </w:r>
          <w:r>
            <w:rPr>
              <w:bCs/>
              <w:lang w:val="zh-CN"/>
            </w:rPr>
            <w:instrText xml:space="preserve"> HYPERLINK \l _Toc24625 </w:instrText>
          </w:r>
          <w:r>
            <w:rPr>
              <w:bCs/>
              <w:lang w:val="zh-CN"/>
            </w:rPr>
            <w:fldChar w:fldCharType="separate"/>
          </w:r>
          <w:r>
            <w:rPr>
              <w:rFonts w:hint="eastAsia" w:asciiTheme="majorEastAsia" w:eastAsiaTheme="majorEastAsia"/>
              <w:highlight w:val="none"/>
            </w:rPr>
            <w:t>一、问题</w:t>
          </w:r>
          <w:r>
            <w:tab/>
          </w:r>
          <w:r>
            <w:fldChar w:fldCharType="begin"/>
          </w:r>
          <w:r>
            <w:instrText xml:space="preserve"> PAGEREF _Toc24625 \h </w:instrText>
          </w:r>
          <w:r>
            <w:fldChar w:fldCharType="separate"/>
          </w:r>
          <w:r>
            <w:rPr>
              <w:rFonts w:ascii="Times New Roman" w:hAnsi="Times New Roman"/>
              <w:b w:val="0"/>
              <w:i w:val="0"/>
            </w:rPr>
            <w:t>2</w:t>
          </w:r>
          <w:r>
            <w:fldChar w:fldCharType="end"/>
          </w:r>
          <w:r>
            <w:rPr>
              <w:bCs/>
              <w:lang w:val="zh-CN"/>
            </w:rPr>
            <w:fldChar w:fldCharType="end"/>
          </w:r>
        </w:p>
        <w:p w14:paraId="48AAFAEF">
          <w:pPr>
            <w:pStyle w:val="8"/>
            <w:tabs>
              <w:tab w:val="right" w:leader="dot" w:pos="8306"/>
            </w:tabs>
          </w:pPr>
          <w:r>
            <w:rPr>
              <w:bCs/>
              <w:lang w:val="zh-CN"/>
            </w:rPr>
            <w:fldChar w:fldCharType="begin"/>
          </w:r>
          <w:r>
            <w:rPr>
              <w:bCs/>
              <w:lang w:val="zh-CN"/>
            </w:rPr>
            <w:instrText xml:space="preserve"> HYPERLINK \l _Toc17929 </w:instrText>
          </w:r>
          <w:r>
            <w:rPr>
              <w:bCs/>
              <w:lang w:val="zh-CN"/>
            </w:rPr>
            <w:fldChar w:fldCharType="separate"/>
          </w:r>
          <w:r>
            <w:rPr>
              <w:rFonts w:hint="eastAsia" w:asciiTheme="majorEastAsia" w:eastAsiaTheme="majorEastAsia"/>
              <w:highlight w:val="none"/>
            </w:rPr>
            <w:t>二、分析思路</w:t>
          </w:r>
          <w:r>
            <w:tab/>
          </w:r>
          <w:r>
            <w:fldChar w:fldCharType="begin"/>
          </w:r>
          <w:r>
            <w:instrText xml:space="preserve"> PAGEREF _Toc17929 \h </w:instrText>
          </w:r>
          <w:r>
            <w:fldChar w:fldCharType="separate"/>
          </w:r>
          <w:r>
            <w:rPr>
              <w:rFonts w:ascii="Times New Roman" w:hAnsi="Times New Roman"/>
              <w:b w:val="0"/>
              <w:i w:val="0"/>
            </w:rPr>
            <w:t>2</w:t>
          </w:r>
          <w:r>
            <w:fldChar w:fldCharType="end"/>
          </w:r>
          <w:r>
            <w:rPr>
              <w:bCs/>
              <w:lang w:val="zh-CN"/>
            </w:rPr>
            <w:fldChar w:fldCharType="end"/>
          </w:r>
        </w:p>
        <w:p w14:paraId="365C4BF5">
          <w:pPr>
            <w:pStyle w:val="8"/>
            <w:tabs>
              <w:tab w:val="right" w:leader="dot" w:pos="8306"/>
            </w:tabs>
          </w:pPr>
          <w:r>
            <w:rPr>
              <w:bCs/>
              <w:lang w:val="zh-CN"/>
            </w:rPr>
            <w:fldChar w:fldCharType="begin"/>
          </w:r>
          <w:r>
            <w:rPr>
              <w:bCs/>
              <w:lang w:val="zh-CN"/>
            </w:rPr>
            <w:instrText xml:space="preserve"> HYPERLINK \l _Toc2219 </w:instrText>
          </w:r>
          <w:r>
            <w:rPr>
              <w:bCs/>
              <w:lang w:val="zh-CN"/>
            </w:rPr>
            <w:fldChar w:fldCharType="separate"/>
          </w:r>
          <w:r>
            <w:rPr>
              <w:rFonts w:hint="eastAsia" w:asciiTheme="majorEastAsia" w:eastAsiaTheme="majorEastAsia"/>
              <w:highlight w:val="none"/>
            </w:rPr>
            <w:t>三、程序</w:t>
          </w:r>
          <w:r>
            <w:tab/>
          </w:r>
          <w:r>
            <w:fldChar w:fldCharType="begin"/>
          </w:r>
          <w:r>
            <w:instrText xml:space="preserve"> PAGEREF _Toc2219 \h </w:instrText>
          </w:r>
          <w:r>
            <w:fldChar w:fldCharType="separate"/>
          </w:r>
          <w:r>
            <w:rPr>
              <w:rFonts w:ascii="Times New Roman" w:hAnsi="Times New Roman"/>
              <w:b w:val="0"/>
              <w:i w:val="0"/>
            </w:rPr>
            <w:t>3</w:t>
          </w:r>
          <w:r>
            <w:fldChar w:fldCharType="end"/>
          </w:r>
          <w:r>
            <w:rPr>
              <w:bCs/>
              <w:lang w:val="zh-CN"/>
            </w:rPr>
            <w:fldChar w:fldCharType="end"/>
          </w:r>
        </w:p>
        <w:p w14:paraId="0034A783">
          <w:pPr>
            <w:pStyle w:val="8"/>
            <w:tabs>
              <w:tab w:val="right" w:leader="dot" w:pos="8306"/>
            </w:tabs>
          </w:pPr>
          <w:r>
            <w:rPr>
              <w:bCs/>
              <w:lang w:val="zh-CN"/>
            </w:rPr>
            <w:fldChar w:fldCharType="begin"/>
          </w:r>
          <w:r>
            <w:rPr>
              <w:bCs/>
              <w:lang w:val="zh-CN"/>
            </w:rPr>
            <w:instrText xml:space="preserve"> HYPERLINK \l _Toc20535 </w:instrText>
          </w:r>
          <w:r>
            <w:rPr>
              <w:bCs/>
              <w:lang w:val="zh-CN"/>
            </w:rPr>
            <w:fldChar w:fldCharType="separate"/>
          </w:r>
          <w:r>
            <w:rPr>
              <w:rFonts w:hint="eastAsia" w:asciiTheme="majorEastAsia" w:eastAsiaTheme="majorEastAsia"/>
              <w:highlight w:val="none"/>
            </w:rPr>
            <w:t>四、结果与分析</w:t>
          </w:r>
          <w:r>
            <w:tab/>
          </w:r>
          <w:r>
            <w:fldChar w:fldCharType="begin"/>
          </w:r>
          <w:r>
            <w:instrText xml:space="preserve"> PAGEREF _Toc20535 \h </w:instrText>
          </w:r>
          <w:r>
            <w:fldChar w:fldCharType="separate"/>
          </w:r>
          <w:r>
            <w:rPr>
              <w:rFonts w:ascii="Times New Roman" w:hAnsi="Times New Roman"/>
              <w:b w:val="0"/>
              <w:i w:val="0"/>
            </w:rPr>
            <w:t>4</w:t>
          </w:r>
          <w:r>
            <w:fldChar w:fldCharType="end"/>
          </w:r>
          <w:r>
            <w:rPr>
              <w:bCs/>
              <w:lang w:val="zh-CN"/>
            </w:rPr>
            <w:fldChar w:fldCharType="end"/>
          </w:r>
        </w:p>
        <w:p w14:paraId="5724DEF5">
          <w:pPr>
            <w:pStyle w:val="8"/>
            <w:tabs>
              <w:tab w:val="right" w:leader="dot" w:pos="8306"/>
            </w:tabs>
          </w:pPr>
          <w:r>
            <w:rPr>
              <w:bCs/>
              <w:lang w:val="zh-CN"/>
            </w:rPr>
            <w:fldChar w:fldCharType="begin"/>
          </w:r>
          <w:r>
            <w:rPr>
              <w:bCs/>
              <w:lang w:val="zh-CN"/>
            </w:rPr>
            <w:instrText xml:space="preserve"> HYPERLINK \l _Toc18286 </w:instrText>
          </w:r>
          <w:r>
            <w:rPr>
              <w:bCs/>
              <w:lang w:val="zh-CN"/>
            </w:rPr>
            <w:fldChar w:fldCharType="separate"/>
          </w:r>
          <w:r>
            <w:rPr>
              <w:rFonts w:hint="eastAsia" w:asciiTheme="majorEastAsia" w:eastAsiaTheme="majorEastAsia"/>
              <w:highlight w:val="none"/>
            </w:rPr>
            <w:t>五、难点与联想</w:t>
          </w:r>
          <w:r>
            <w:tab/>
          </w:r>
          <w:r>
            <w:fldChar w:fldCharType="begin"/>
          </w:r>
          <w:r>
            <w:instrText xml:space="preserve"> PAGEREF _Toc18286 \h </w:instrText>
          </w:r>
          <w:r>
            <w:fldChar w:fldCharType="separate"/>
          </w:r>
          <w:r>
            <w:rPr>
              <w:rFonts w:ascii="Times New Roman" w:hAnsi="Times New Roman"/>
              <w:b w:val="0"/>
              <w:i w:val="0"/>
            </w:rPr>
            <w:t>7</w:t>
          </w:r>
          <w:r>
            <w:fldChar w:fldCharType="end"/>
          </w:r>
          <w:r>
            <w:rPr>
              <w:bCs/>
              <w:lang w:val="zh-CN"/>
            </w:rPr>
            <w:fldChar w:fldCharType="end"/>
          </w:r>
        </w:p>
        <w:p w14:paraId="5B08117B">
          <w:pPr>
            <w:ind w:firstLine="422"/>
          </w:pPr>
          <w:r>
            <w:rPr>
              <w:bCs/>
              <w:lang w:val="zh-CN"/>
            </w:rPr>
            <w:fldChar w:fldCharType="end"/>
          </w:r>
        </w:p>
      </w:sdtContent>
    </w:sdt>
    <w:p w14:paraId="153E0839">
      <w:pPr>
        <w:widowControl/>
        <w:snapToGrid/>
        <w:spacing w:line="240" w:lineRule="auto"/>
        <w:ind w:firstLine="0" w:firstLineChars="0"/>
        <w:jc w:val="left"/>
      </w:pPr>
      <w:r>
        <w:br w:type="page"/>
      </w:r>
    </w:p>
    <w:p w14:paraId="115BE98A">
      <w:pPr>
        <w:spacing w:line="240" w:lineRule="auto"/>
        <w:ind w:firstLineChars="0"/>
        <w:jc w:val="center"/>
        <w:rPr>
          <w:rFonts w:hint="eastAsia" w:asciiTheme="minorEastAsia" w:hAnsiTheme="minorEastAsia" w:eastAsiaTheme="minorEastAsia"/>
          <w:u w:val="single"/>
          <w:lang w:val="en-US" w:eastAsia="zh-CN"/>
        </w:rPr>
      </w:pPr>
      <w:r>
        <w:rPr>
          <w:rFonts w:hint="eastAsia" w:asciiTheme="minorEastAsia" w:hAnsiTheme="minorEastAsia" w:eastAsiaTheme="minorEastAsia"/>
          <w:u w:val="single"/>
        </w:rPr>
        <w:t>姓名：</w:t>
      </w:r>
      <w:r>
        <w:rPr>
          <w:rFonts w:hint="eastAsia" w:asciiTheme="minorEastAsia" w:hAnsiTheme="minorEastAsia" w:eastAsiaTheme="minorEastAsia"/>
          <w:u w:val="single"/>
          <w:lang w:val="en-US" w:eastAsia="zh-CN"/>
        </w:rPr>
        <w:t>朱晗、冯高阳</w:t>
      </w:r>
      <w:r>
        <w:rPr>
          <w:rFonts w:hint="eastAsia" w:asciiTheme="minorEastAsia" w:hAnsiTheme="minorEastAsia" w:eastAsiaTheme="minorEastAsia"/>
          <w:u w:val="single"/>
          <w:lang w:val="en-US" w:eastAsia="zh-CN"/>
        </w:rPr>
        <w:tab/>
      </w:r>
      <w:r>
        <w:rPr>
          <w:rFonts w:hint="eastAsia" w:asciiTheme="minorEastAsia" w:hAnsiTheme="minorEastAsia" w:eastAsiaTheme="minorEastAsia"/>
          <w:u w:val="single"/>
          <w:lang w:val="en-US" w:eastAsia="zh-CN"/>
        </w:rPr>
        <w:t xml:space="preserve">  </w:t>
      </w:r>
      <w:r>
        <w:rPr>
          <w:rFonts w:hint="eastAsia" w:asciiTheme="minorEastAsia" w:hAnsiTheme="minorEastAsia" w:eastAsiaTheme="minorEastAsia"/>
          <w:u w:val="single"/>
        </w:rPr>
        <w:t>学号：</w:t>
      </w:r>
      <w:r>
        <w:rPr>
          <w:rFonts w:hint="eastAsia" w:ascii="Times New Roman" w:hAnsi="Times New Roman" w:eastAsiaTheme="minorEastAsia"/>
          <w:b w:val="0"/>
          <w:i w:val="0"/>
          <w:u w:val="single"/>
          <w:lang w:val="en-US" w:eastAsia="zh-CN"/>
        </w:rPr>
        <w:t>2022110901007</w:t>
      </w:r>
      <w:r>
        <w:rPr>
          <w:rFonts w:hint="eastAsia" w:asciiTheme="minorEastAsia" w:hAnsiTheme="minorEastAsia" w:eastAsiaTheme="minorEastAsia"/>
          <w:u w:val="single"/>
          <w:lang w:val="en-US" w:eastAsia="zh-CN"/>
        </w:rPr>
        <w:t>、</w:t>
      </w:r>
      <w:r>
        <w:rPr>
          <w:rFonts w:hint="eastAsia" w:ascii="Times New Roman" w:hAnsi="Times New Roman" w:eastAsiaTheme="minorEastAsia"/>
          <w:b w:val="0"/>
          <w:i w:val="0"/>
          <w:u w:val="single"/>
          <w:lang w:val="en-US" w:eastAsia="zh-CN"/>
        </w:rPr>
        <w:t>2022110902012</w:t>
      </w:r>
    </w:p>
    <w:p w14:paraId="3F71BD5D">
      <w:pPr>
        <w:spacing w:line="240" w:lineRule="auto"/>
        <w:ind w:firstLineChars="0"/>
        <w:jc w:val="center"/>
        <w:rPr>
          <w:rFonts w:hint="default" w:eastAsiaTheme="minorEastAsia"/>
          <w:u w:val="single"/>
          <w:lang w:val="en-US" w:eastAsia="zh-CN"/>
        </w:rPr>
      </w:pPr>
      <w:r>
        <w:rPr>
          <w:rFonts w:hint="eastAsia" w:asciiTheme="minorEastAsia" w:hAnsiTheme="minorEastAsia" w:eastAsiaTheme="minorEastAsia"/>
          <w:u w:val="single"/>
        </w:rPr>
        <w:t>专业：</w:t>
      </w:r>
      <w:r>
        <w:rPr>
          <w:rFonts w:hint="eastAsia" w:asciiTheme="minorEastAsia" w:hAnsiTheme="minorEastAsia" w:eastAsiaTheme="minorEastAsia"/>
          <w:u w:val="single"/>
          <w:lang w:val="en-US" w:eastAsia="zh-CN"/>
        </w:rPr>
        <w:t xml:space="preserve">数据科学与大数据技术  </w:t>
      </w:r>
      <w:r>
        <w:rPr>
          <w:rFonts w:hint="eastAsia" w:asciiTheme="minorEastAsia" w:hAnsiTheme="minorEastAsia" w:eastAsiaTheme="minorEastAsia"/>
          <w:u w:val="single"/>
        </w:rPr>
        <w:t>得分：</w:t>
      </w:r>
      <w:r>
        <w:rPr>
          <w:rFonts w:hint="eastAsia" w:asciiTheme="minorEastAsia" w:hAnsiTheme="minorEastAsia" w:eastAsiaTheme="minorEastAsia"/>
          <w:u w:val="single"/>
          <w:lang w:val="en-US" w:eastAsia="zh-CN"/>
        </w:rPr>
        <w:t xml:space="preserve">    </w:t>
      </w:r>
    </w:p>
    <w:p w14:paraId="5D94AAC7">
      <w:pPr>
        <w:pStyle w:val="3"/>
        <w:spacing w:before="468" w:after="468"/>
        <w:rPr>
          <w:highlight w:val="none"/>
        </w:rPr>
      </w:pPr>
      <w:bookmarkStart w:id="0" w:name="_Toc20046"/>
      <w:r>
        <w:rPr>
          <w:rFonts w:hint="eastAsia" w:asciiTheme="majorEastAsia" w:hAnsiTheme="majorEastAsia" w:eastAsiaTheme="majorEastAsia"/>
          <w:color w:val="000000"/>
          <w:kern w:val="21"/>
          <w:highlight w:val="none"/>
        </w:rPr>
        <w:t>多元统计分析作业</w:t>
      </w:r>
      <w:r>
        <w:rPr>
          <w:rFonts w:hint="eastAsia" w:ascii="Times New Roman" w:hAnsi="Times New Roman" w:eastAsiaTheme="majorEastAsia"/>
          <w:b w:val="0"/>
          <w:i w:val="0"/>
          <w:color w:val="000000"/>
          <w:kern w:val="21"/>
          <w:highlight w:val="none"/>
          <w:lang w:val="en-US" w:eastAsia="zh-CN"/>
        </w:rPr>
        <w:t>3</w:t>
      </w:r>
      <w:r>
        <w:rPr>
          <w:rFonts w:hint="eastAsia" w:asciiTheme="majorEastAsia" w:hAnsiTheme="majorEastAsia" w:eastAsiaTheme="majorEastAsia"/>
          <w:color w:val="000000"/>
          <w:kern w:val="21"/>
          <w:highlight w:val="none"/>
        </w:rPr>
        <w:t>：上证指数的回归分析</w:t>
      </w:r>
      <w:bookmarkEnd w:id="0"/>
    </w:p>
    <w:p w14:paraId="5ABFE8C7">
      <w:pPr>
        <w:pStyle w:val="4"/>
        <w:ind w:firstLine="480"/>
        <w:rPr>
          <w:rFonts w:asciiTheme="majorEastAsia" w:eastAsiaTheme="majorEastAsia"/>
          <w:color w:val="000000"/>
          <w:sz w:val="24"/>
          <w:highlight w:val="none"/>
        </w:rPr>
      </w:pPr>
      <w:bookmarkStart w:id="1" w:name="_Toc515896055"/>
      <w:bookmarkStart w:id="2" w:name="_Toc24625"/>
      <w:r>
        <w:rPr>
          <w:rFonts w:hint="eastAsia" w:asciiTheme="majorEastAsia" w:eastAsiaTheme="majorEastAsia"/>
          <w:color w:val="000000"/>
          <w:sz w:val="24"/>
          <w:highlight w:val="none"/>
        </w:rPr>
        <w:t>一、</w:t>
      </w:r>
      <w:bookmarkEnd w:id="1"/>
      <w:r>
        <w:rPr>
          <w:rFonts w:hint="eastAsia" w:asciiTheme="majorEastAsia" w:eastAsiaTheme="majorEastAsia"/>
          <w:color w:val="000000"/>
          <w:sz w:val="24"/>
          <w:highlight w:val="none"/>
        </w:rPr>
        <w:t>问题</w:t>
      </w:r>
      <w:bookmarkEnd w:id="2"/>
    </w:p>
    <w:p w14:paraId="08D9A9FB">
      <w:pPr>
        <w:ind w:firstLine="420"/>
        <w:rPr>
          <w:rFonts w:hint="eastAsia" w:asciiTheme="minorEastAsia" w:hAnsiTheme="minorEastAsia" w:eastAsiaTheme="minorEastAsia"/>
          <w:highlight w:val="none"/>
          <w:lang w:eastAsia="zh-CN"/>
        </w:rPr>
      </w:pPr>
      <w:r>
        <w:rPr>
          <w:rFonts w:hint="eastAsia" w:asciiTheme="minorEastAsia" w:hAnsiTheme="minorEastAsia" w:eastAsiaTheme="minorEastAsia"/>
          <w:highlight w:val="none"/>
        </w:rPr>
        <w:t>把目光投向</w:t>
      </w:r>
      <w:r>
        <w:rPr>
          <w:rFonts w:hint="eastAsia" w:asciiTheme="minorEastAsia" w:hAnsiTheme="minorEastAsia" w:eastAsiaTheme="minorEastAsia"/>
          <w:highlight w:val="none"/>
          <w:lang w:val="en-US" w:eastAsia="zh-CN"/>
        </w:rPr>
        <w:t>中国</w:t>
      </w:r>
      <w:r>
        <w:rPr>
          <w:rFonts w:hint="eastAsia" w:asciiTheme="minorEastAsia" w:hAnsiTheme="minorEastAsia" w:eastAsiaTheme="minorEastAsia"/>
          <w:highlight w:val="none"/>
        </w:rPr>
        <w:t>金融市场时，</w:t>
      </w:r>
      <w:r>
        <w:rPr>
          <w:rFonts w:hint="eastAsia" w:asciiTheme="minorEastAsia" w:hAnsiTheme="minorEastAsia" w:eastAsiaTheme="minorEastAsia"/>
          <w:b/>
          <w:bCs/>
          <w:highlight w:val="none"/>
        </w:rPr>
        <w:t>上证指数</w:t>
      </w:r>
      <w:r>
        <w:rPr>
          <w:rFonts w:hint="eastAsia" w:asciiTheme="minorEastAsia" w:hAnsiTheme="minorEastAsia" w:eastAsiaTheme="minorEastAsia"/>
          <w:highlight w:val="none"/>
        </w:rPr>
        <w:t>常被视为衡量中国股市整体走势的风向标，它所记录的涨跌背后，不仅蕴含了国内市场自身的结构变迁与情绪流动，也隐含着国际资本联动与宏观经济政策指向的暗流涌动。倘若不</w:t>
      </w:r>
      <w:r>
        <w:rPr>
          <w:rFonts w:hint="eastAsia" w:asciiTheme="minorEastAsia" w:hAnsiTheme="minorEastAsia" w:eastAsiaTheme="minorEastAsia"/>
          <w:highlight w:val="none"/>
          <w:lang w:val="en-US" w:eastAsia="zh-CN"/>
        </w:rPr>
        <w:t>仅仅只是</w:t>
      </w:r>
      <w:r>
        <w:rPr>
          <w:rFonts w:hint="eastAsia" w:asciiTheme="minorEastAsia" w:hAnsiTheme="minorEastAsia" w:eastAsiaTheme="minorEastAsia"/>
          <w:highlight w:val="none"/>
        </w:rPr>
        <w:t>简单地观察其上下起伏，而想进一步探寻背后的动力机制，就会发现像恒生指数、人民币对美元汇率、标普</w:t>
      </w:r>
      <w:r>
        <w:rPr>
          <w:rFonts w:hint="eastAsia" w:ascii="Times New Roman" w:hAnsi="Times New Roman" w:eastAsiaTheme="minorEastAsia"/>
          <w:b w:val="0"/>
          <w:i w:val="0"/>
          <w:highlight w:val="none"/>
        </w:rPr>
        <w:t>500</w:t>
      </w:r>
      <w:r>
        <w:rPr>
          <w:rFonts w:hint="eastAsia" w:asciiTheme="minorEastAsia" w:hAnsiTheme="minorEastAsia" w:eastAsiaTheme="minorEastAsia"/>
          <w:highlight w:val="none"/>
        </w:rPr>
        <w:t>指数、国际原油价格以及各类宏观经济指标等，都可能在悄然影响着上证指数的未来走向。于是，本次研究尝试利用回归分析方法，以</w:t>
      </w:r>
      <w:r>
        <w:rPr>
          <w:rFonts w:hint="eastAsia" w:ascii="Times New Roman" w:hAnsi="Times New Roman" w:eastAsiaTheme="minorEastAsia"/>
          <w:b w:val="0"/>
          <w:i w:val="0"/>
          <w:highlight w:val="none"/>
        </w:rPr>
        <w:t>2024</w:t>
      </w:r>
      <w:r>
        <w:rPr>
          <w:rFonts w:hint="eastAsia" w:asciiTheme="minorEastAsia" w:hAnsiTheme="minorEastAsia" w:eastAsiaTheme="minorEastAsia"/>
          <w:highlight w:val="none"/>
        </w:rPr>
        <w:t>年的数据为背景，将这些潜在驱动因素一并纳入考虑范围，从而构建一个能更好解释上证指数走势的模型</w:t>
      </w:r>
      <w:r>
        <w:rPr>
          <w:rFonts w:hint="eastAsia" w:asciiTheme="minorEastAsia" w:hAnsiTheme="minorEastAsia" w:eastAsiaTheme="minorEastAsia"/>
          <w:highlight w:val="none"/>
          <w:lang w:eastAsia="zh-CN"/>
        </w:rPr>
        <w:t>。</w:t>
      </w:r>
    </w:p>
    <w:p w14:paraId="258F5625">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正式展开</w:t>
      </w:r>
      <w:r>
        <w:rPr>
          <w:rFonts w:hint="eastAsia" w:asciiTheme="minorEastAsia" w:hAnsiTheme="minorEastAsia" w:eastAsiaTheme="minorEastAsia"/>
          <w:highlight w:val="none"/>
          <w:lang w:val="en-US" w:eastAsia="zh-CN"/>
        </w:rPr>
        <w:t>分析</w:t>
      </w:r>
      <w:r>
        <w:rPr>
          <w:rFonts w:hint="eastAsia" w:asciiTheme="minorEastAsia" w:hAnsiTheme="minorEastAsia" w:eastAsiaTheme="minorEastAsia"/>
          <w:highlight w:val="none"/>
        </w:rPr>
        <w:t>之前，有必要对上证指数以及相关的分析框架予以简要回顾。上证指数由上海证券交易所编制，其变动蕴含了企业盈利水平、市场风险偏好、政策预期与国际资本流动的综合效应。在当今环环相扣的全球化经济背景下，当外部市场风起云涌、人民币汇率波动、国际金融环境持续调整时，上证指数也不免被各类外因牵动。回归分析作为常用的统计与计量工具，有助于将包括股市指数、汇率、国际大宗商品价格及宏观经济数据在内的多元要素整合进同一分析框架，以探究其与上证指数的相关程度与影响方向。</w:t>
      </w:r>
    </w:p>
    <w:p w14:paraId="7D68F6CB">
      <w:pPr>
        <w:pStyle w:val="4"/>
        <w:ind w:firstLine="480"/>
        <w:rPr>
          <w:rFonts w:asciiTheme="majorEastAsia" w:eastAsiaTheme="majorEastAsia"/>
          <w:color w:val="000000"/>
          <w:sz w:val="24"/>
          <w:highlight w:val="none"/>
        </w:rPr>
      </w:pPr>
      <w:bookmarkStart w:id="3" w:name="_Toc17929"/>
      <w:r>
        <w:rPr>
          <w:rFonts w:hint="eastAsia" w:asciiTheme="majorEastAsia" w:eastAsiaTheme="majorEastAsia"/>
          <w:color w:val="000000"/>
          <w:sz w:val="24"/>
          <w:highlight w:val="none"/>
        </w:rPr>
        <w:t>二、分析思路</w:t>
      </w:r>
      <w:bookmarkEnd w:id="3"/>
    </w:p>
    <w:p w14:paraId="68EF811C">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本次研究以上证指数为核心目标，希望通过多元线性回归与</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回归等统计手段，探索各类外部因素对这一指数的影响。整个过程的逻辑脉络主要分为数据处理、模型构建与性能验证，以及辅助信息呈现三部分。</w:t>
      </w:r>
    </w:p>
    <w:p w14:paraId="2EF9923A">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在数据处理环节，我们从多份数据集出发，将上证指数与恒生指数、沪深</w:t>
      </w:r>
      <w:r>
        <w:rPr>
          <w:rFonts w:hint="eastAsia" w:ascii="Times New Roman" w:hAnsi="Times New Roman" w:eastAsiaTheme="minorEastAsia"/>
          <w:b w:val="0"/>
          <w:i w:val="0"/>
          <w:highlight w:val="none"/>
        </w:rPr>
        <w:t>300</w:t>
      </w:r>
      <w:r>
        <w:rPr>
          <w:rFonts w:hint="eastAsia" w:asciiTheme="minorEastAsia" w:hAnsiTheme="minorEastAsia" w:eastAsiaTheme="minorEastAsia"/>
          <w:highlight w:val="none"/>
        </w:rPr>
        <w:t>、科创</w:t>
      </w:r>
      <w:r>
        <w:rPr>
          <w:rFonts w:hint="eastAsia" w:ascii="Times New Roman" w:hAnsi="Times New Roman" w:eastAsiaTheme="minorEastAsia"/>
          <w:b w:val="0"/>
          <w:i w:val="0"/>
          <w:highlight w:val="none"/>
        </w:rPr>
        <w:t>50</w:t>
      </w:r>
      <w:r>
        <w:rPr>
          <w:rFonts w:hint="eastAsia" w:asciiTheme="minorEastAsia" w:hAnsiTheme="minorEastAsia" w:eastAsiaTheme="minorEastAsia"/>
          <w:highlight w:val="none"/>
        </w:rPr>
        <w:t>、美元指数、中证</w:t>
      </w:r>
      <w:r>
        <w:rPr>
          <w:rFonts w:hint="eastAsia" w:ascii="Times New Roman" w:hAnsi="Times New Roman" w:eastAsiaTheme="minorEastAsia"/>
          <w:i/>
          <w:highlight w:val="none"/>
        </w:rPr>
        <w:t>A</w:t>
      </w:r>
      <w:r>
        <w:rPr>
          <w:rFonts w:hint="eastAsia" w:ascii="Times New Roman" w:hAnsi="Times New Roman" w:eastAsiaTheme="minorEastAsia"/>
          <w:b w:val="0"/>
          <w:i w:val="0"/>
          <w:highlight w:val="none"/>
        </w:rPr>
        <w:t>100</w:t>
      </w:r>
      <w:r>
        <w:rPr>
          <w:rFonts w:hint="eastAsia" w:asciiTheme="minorEastAsia" w:hAnsiTheme="minorEastAsia" w:eastAsiaTheme="minorEastAsia"/>
          <w:highlight w:val="none"/>
        </w:rPr>
        <w:t>等多维市场指标同处一室，并确保它们在同一时间尺度上对齐。这就如同在一张有序的数据“棋盘”上，为每个变量找到各自对应的棋位，以便后续的建模能够在一个整齐划一的框架内运行。</w:t>
      </w:r>
    </w:p>
    <w:p w14:paraId="39178C01">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lang w:val="en-US" w:eastAsia="zh-CN"/>
        </w:rPr>
        <w:t>其次</w:t>
      </w:r>
      <w:r>
        <w:rPr>
          <w:rFonts w:hint="eastAsia" w:asciiTheme="minorEastAsia" w:hAnsiTheme="minorEastAsia" w:eastAsiaTheme="minorEastAsia"/>
          <w:highlight w:val="none"/>
        </w:rPr>
        <w:t>，辅助信息的呈现（如人民币汇率中间价的时间序列图）为理解上述回归关系提供了宏观层面的参考背景。即便这些汇率数据不直接被输入模型，它们的变化趋势却可能在现实中影响市场资金流向与风险偏好，从而间接左右各指数间的联动。这些图表的目的是协助在解释模型结果时不至于“盲人摸象”，而是能够稍有余地回头看看大环境，为后续进一步的经济学解释与策略制定提供一些更宽泛的坐标系。</w:t>
      </w:r>
    </w:p>
    <w:p w14:paraId="28375D87">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接下来，模型构建与性能验证的核心工作是将这些处理过的数据投入回归模型中考验。多因素线性回归模型为我们搭建了一个初步的关联框架：上证指数作为因变量，自变量则是其他市场指标的当期数据。我们能够以</w:t>
      </w:r>
      <w:r>
        <w:rPr>
          <w:rFonts w:hint="eastAsia" w:ascii="Times New Roman" w:hAnsi="Times New Roman" w:eastAsiaTheme="minorEastAsia"/>
          <w:i/>
          <w:highlight w:val="none"/>
        </w:rPr>
        <w:t>MSE</w:t>
      </w:r>
      <w:r>
        <w:rPr>
          <w:rFonts w:hint="eastAsia" w:asciiTheme="minorEastAsia" w:hAnsiTheme="minorEastAsia" w:eastAsiaTheme="minorEastAsia"/>
          <w:highlight w:val="none"/>
        </w:rPr>
        <w:t>等指标客观评价模型对未来数据的预测能力。此步骤的意义在于，以严谨可量化的方式检验模型的有效性，而不仅仅停留在主观直觉。之后的</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回归尝试则通过正则化手段精简模型，将无助于预测的冗余因素“剔除”出局，为后续分析者提供一种从复杂多元中提炼关键因素的操作思路。相较于多因素线性回归，</w:t>
      </w:r>
      <w:r>
        <w:rPr>
          <w:rFonts w:hint="eastAsia" w:ascii="Times New Roman" w:hAnsi="Times New Roman" w:eastAsiaTheme="minorEastAsia"/>
          <w:i/>
          <w:highlight w:val="none"/>
        </w:rPr>
        <w:t>Lasso</w:t>
      </w:r>
      <w:r>
        <w:rPr>
          <w:rFonts w:hint="eastAsia" w:asciiTheme="minorEastAsia" w:hAnsiTheme="minorEastAsia" w:eastAsiaTheme="minorEastAsia"/>
          <w:highlight w:val="none"/>
          <w:lang w:val="en-US" w:eastAsia="zh-CN"/>
        </w:rPr>
        <w:t>回归</w:t>
      </w:r>
      <w:r>
        <w:rPr>
          <w:rFonts w:hint="eastAsia" w:asciiTheme="minorEastAsia" w:hAnsiTheme="minorEastAsia" w:eastAsiaTheme="minorEastAsia"/>
          <w:highlight w:val="none"/>
        </w:rPr>
        <w:t>为我们展示了另一种更为“精炼”的建模路线。</w:t>
      </w:r>
    </w:p>
    <w:p w14:paraId="4B07368A">
      <w:pPr>
        <w:ind w:firstLine="420"/>
        <w:rPr>
          <w:rFonts w:asciiTheme="minorEastAsia" w:hAnsiTheme="minorEastAsia" w:eastAsiaTheme="minorEastAsia"/>
          <w:highlight w:val="none"/>
        </w:rPr>
      </w:pPr>
      <w:r>
        <w:rPr>
          <w:rFonts w:hint="eastAsia" w:asciiTheme="minorEastAsia" w:hAnsiTheme="minorEastAsia" w:eastAsiaTheme="minorEastAsia"/>
          <w:highlight w:val="none"/>
        </w:rPr>
        <w:t>本次分析的思路在于将多元数据结构化处理，通过多因素与正则化两类回归模型比较与验证，并借助背景信息的补充来提升对结果的理解。</w:t>
      </w:r>
    </w:p>
    <w:p w14:paraId="44D8CDBB">
      <w:pPr>
        <w:ind w:firstLine="420"/>
        <w:rPr>
          <w:rFonts w:asciiTheme="minorEastAsia" w:hAnsiTheme="minorEastAsia" w:eastAsiaTheme="minorEastAsia"/>
          <w:highlight w:val="none"/>
        </w:rPr>
      </w:pPr>
    </w:p>
    <w:p w14:paraId="6537AFAD">
      <w:pPr>
        <w:pStyle w:val="4"/>
        <w:ind w:firstLine="480"/>
        <w:rPr>
          <w:rFonts w:asciiTheme="majorEastAsia" w:eastAsiaTheme="majorEastAsia"/>
          <w:color w:val="000000"/>
          <w:sz w:val="24"/>
          <w:highlight w:val="none"/>
        </w:rPr>
      </w:pPr>
      <w:bookmarkStart w:id="4" w:name="_Toc2219"/>
      <w:r>
        <w:rPr>
          <w:rFonts w:hint="eastAsia" w:asciiTheme="majorEastAsia" w:eastAsiaTheme="majorEastAsia"/>
          <w:color w:val="000000"/>
          <w:sz w:val="24"/>
          <w:highlight w:val="none"/>
        </w:rPr>
        <w:t>三、程序</w:t>
      </w:r>
      <w:bookmarkEnd w:id="4"/>
    </w:p>
    <w:p w14:paraId="283BB94A">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操作步骤与实现过程可分为数据准备、模型构建与评估、以及结果展示三个环节。</w:t>
      </w:r>
    </w:p>
    <w:p w14:paraId="73F6D2DF">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在数据准备阶段，程序通过一系列标准化处理与目录检查，确保输出图表与结果文件有序存放，并利用</w:t>
      </w:r>
      <w:r>
        <w:rPr>
          <w:rFonts w:hint="eastAsia" w:ascii="Times New Roman" w:hAnsi="Times New Roman" w:eastAsiaTheme="minorEastAsia"/>
          <w:i/>
          <w:highlight w:val="none"/>
        </w:rPr>
        <w:t>pandas</w:t>
      </w:r>
      <w:r>
        <w:rPr>
          <w:rFonts w:hint="eastAsia" w:asciiTheme="minorEastAsia" w:hAnsiTheme="minorEastAsia" w:eastAsiaTheme="minorEastAsia"/>
          <w:highlight w:val="none"/>
        </w:rPr>
        <w:t>从事先下载并保存于本地的</w:t>
      </w:r>
      <w:r>
        <w:rPr>
          <w:rFonts w:hint="eastAsia" w:ascii="Times New Roman" w:hAnsi="Times New Roman" w:eastAsiaTheme="minorEastAsia"/>
          <w:i/>
          <w:highlight w:val="none"/>
        </w:rPr>
        <w:t>CSV</w:t>
      </w:r>
      <w:r>
        <w:rPr>
          <w:rFonts w:hint="eastAsia" w:asciiTheme="minorEastAsia" w:hAnsiTheme="minorEastAsia" w:eastAsiaTheme="minorEastAsia"/>
          <w:highlight w:val="none"/>
        </w:rPr>
        <w:t>文件中读取各类相关金融数据集。</w:t>
      </w:r>
    </w:p>
    <w:p w14:paraId="52EF2184">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sh</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ef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stock</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get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quote</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history</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000001</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beg</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end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12</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31</w:t>
      </w:r>
      <w:r>
        <w:rPr>
          <w:rFonts w:hint="default" w:ascii="Code" w:hAnsi="Code" w:eastAsia="华文仿宋" w:cs="Consolas"/>
          <w:i w:val="0"/>
          <w:iCs w:val="0"/>
          <w:caps w:val="0"/>
          <w:color w:val="000000"/>
          <w:spacing w:val="0"/>
          <w:sz w:val="13"/>
          <w:szCs w:val="8"/>
          <w:shd w:val="clear" w:fill="FFFFFF"/>
        </w:rPr>
        <w:t>')   </w:t>
      </w:r>
    </w:p>
    <w:p w14:paraId="30C1447B">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sh</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/上证指数_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False</w:t>
      </w:r>
      <w:r>
        <w:rPr>
          <w:rFonts w:hint="default" w:ascii="Code" w:hAnsi="Code" w:eastAsia="华文仿宋" w:cs="Consolas"/>
          <w:i w:val="0"/>
          <w:iCs w:val="0"/>
          <w:caps w:val="0"/>
          <w:color w:val="000000"/>
          <w:spacing w:val="0"/>
          <w:sz w:val="13"/>
          <w:szCs w:val="8"/>
          <w:shd w:val="clear" w:fill="FFFFFF"/>
        </w:rPr>
        <w:t>)  </w:t>
      </w:r>
    </w:p>
    <w:p w14:paraId="2A80F031">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w:t>
      </w:r>
    </w:p>
    <w:p w14:paraId="58DA08A6">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使用</w:t>
      </w:r>
      <w:r>
        <w:rPr>
          <w:rFonts w:hint="default" w:ascii="Times New Roman" w:hAnsi="Times New Roman" w:eastAsia="华文仿宋" w:cs="Consolas"/>
          <w:i/>
          <w:iCs w:val="0"/>
          <w:caps w:val="0"/>
          <w:color w:val="000000"/>
          <w:spacing w:val="0"/>
          <w:sz w:val="13"/>
          <w:szCs w:val="8"/>
          <w:shd w:val="clear" w:fill="FFFFFF"/>
        </w:rPr>
        <w:t>akshare</w:t>
      </w:r>
      <w:r>
        <w:rPr>
          <w:rFonts w:hint="default" w:ascii="Code" w:hAnsi="Code" w:eastAsia="华文仿宋" w:cs="Consolas"/>
          <w:i w:val="0"/>
          <w:iCs w:val="0"/>
          <w:caps w:val="0"/>
          <w:color w:val="000000"/>
          <w:spacing w:val="0"/>
          <w:sz w:val="13"/>
          <w:szCs w:val="8"/>
          <w:shd w:val="clear" w:fill="FFFFFF"/>
        </w:rPr>
        <w:t>获取恒生指数数据（示例：恒生指数代码为'</w:t>
      </w:r>
      <w:r>
        <w:rPr>
          <w:rFonts w:hint="default" w:ascii="Times New Roman" w:hAnsi="Times New Roman" w:eastAsia="华文仿宋" w:cs="Consolas"/>
          <w:i/>
          <w:iCs w:val="0"/>
          <w:caps w:val="0"/>
          <w:color w:val="000000"/>
          <w:spacing w:val="0"/>
          <w:sz w:val="13"/>
          <w:szCs w:val="8"/>
          <w:shd w:val="clear" w:fill="FFFFFF"/>
        </w:rPr>
        <w:t>HSI</w:t>
      </w:r>
      <w:r>
        <w:rPr>
          <w:rFonts w:hint="default" w:ascii="Code" w:hAnsi="Code" w:eastAsia="华文仿宋" w:cs="Consolas"/>
          <w:i w:val="0"/>
          <w:iCs w:val="0"/>
          <w:caps w:val="0"/>
          <w:color w:val="000000"/>
          <w:spacing w:val="0"/>
          <w:sz w:val="13"/>
          <w:szCs w:val="8"/>
          <w:shd w:val="clear" w:fill="FFFFFF"/>
        </w:rPr>
        <w:t>'）  </w:t>
      </w:r>
    </w:p>
    <w:p w14:paraId="6A150740">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hsi</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ak</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stock</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hk</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daily</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symbol</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HSI</w:t>
      </w:r>
      <w:r>
        <w:rPr>
          <w:rFonts w:hint="default" w:ascii="Code" w:hAnsi="Code" w:eastAsia="华文仿宋" w:cs="Consolas"/>
          <w:i w:val="0"/>
          <w:iCs w:val="0"/>
          <w:caps w:val="0"/>
          <w:color w:val="000000"/>
          <w:spacing w:val="0"/>
          <w:sz w:val="13"/>
          <w:szCs w:val="8"/>
          <w:shd w:val="clear" w:fill="FFFFFF"/>
        </w:rPr>
        <w:t>')  </w:t>
      </w:r>
    </w:p>
    <w:p w14:paraId="742F1EFE">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hsi</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hsi</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rename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columns</w:t>
      </w:r>
      <w:r>
        <w:rPr>
          <w:rFonts w:hint="default" w:ascii="Code" w:hAnsi="Code" w:eastAsia="华文仿宋" w:cs="Consolas"/>
          <w:i w:val="0"/>
          <w:iCs w:val="0"/>
          <w:caps w:val="0"/>
          <w:color w:val="000000"/>
          <w:spacing w:val="0"/>
          <w:sz w:val="13"/>
          <w:szCs w:val="8"/>
          <w:shd w:val="clear" w:fill="FFFFFF"/>
        </w:rPr>
        <w:t>={'日期': '日期', '收盘': '收盘', '最高': '最高', '最低': '最低', '开盘': '开盘'})  </w:t>
      </w:r>
    </w:p>
    <w:p w14:paraId="0E17A4A1">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hsi</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/恒生指数_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False</w:t>
      </w:r>
      <w:r>
        <w:rPr>
          <w:rFonts w:hint="default" w:ascii="Code" w:hAnsi="Code" w:eastAsia="华文仿宋" w:cs="Consolas"/>
          <w:i w:val="0"/>
          <w:iCs w:val="0"/>
          <w:caps w:val="0"/>
          <w:color w:val="000000"/>
          <w:spacing w:val="0"/>
          <w:sz w:val="13"/>
          <w:szCs w:val="8"/>
          <w:shd w:val="clear" w:fill="FFFFFF"/>
        </w:rPr>
        <w:t>)  </w:t>
      </w:r>
    </w:p>
    <w:p w14:paraId="1B26D16A">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csi</w:t>
      </w:r>
      <w:r>
        <w:rPr>
          <w:rFonts w:hint="default" w:ascii="Times New Roman" w:hAnsi="Times New Roman" w:eastAsia="华文仿宋" w:cs="Consolas"/>
          <w:b w:val="0"/>
          <w:i w:val="0"/>
          <w:iCs w:val="0"/>
          <w:caps w:val="0"/>
          <w:color w:val="000000"/>
          <w:spacing w:val="0"/>
          <w:sz w:val="13"/>
          <w:szCs w:val="8"/>
          <w:shd w:val="clear" w:fill="FFFFFF"/>
        </w:rPr>
        <w:t>300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ef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stock</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get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quote</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history</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000300</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beg</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end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12</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31</w:t>
      </w:r>
      <w:r>
        <w:rPr>
          <w:rFonts w:hint="default" w:ascii="Code" w:hAnsi="Code" w:eastAsia="华文仿宋" w:cs="Consolas"/>
          <w:i w:val="0"/>
          <w:iCs w:val="0"/>
          <w:caps w:val="0"/>
          <w:color w:val="000000"/>
          <w:spacing w:val="0"/>
          <w:sz w:val="13"/>
          <w:szCs w:val="8"/>
          <w:shd w:val="clear" w:fill="FFFFFF"/>
        </w:rPr>
        <w:t>')  </w:t>
      </w:r>
    </w:p>
    <w:p w14:paraId="2F52F11E">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csi</w:t>
      </w:r>
      <w:r>
        <w:rPr>
          <w:rFonts w:hint="default" w:ascii="Times New Roman" w:hAnsi="Times New Roman" w:eastAsia="华文仿宋" w:cs="Consolas"/>
          <w:b w:val="0"/>
          <w:i w:val="0"/>
          <w:iCs w:val="0"/>
          <w:caps w:val="0"/>
          <w:color w:val="000000"/>
          <w:spacing w:val="0"/>
          <w:sz w:val="13"/>
          <w:szCs w:val="8"/>
          <w:shd w:val="clear" w:fill="FFFFFF"/>
        </w:rPr>
        <w:t>300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/沪深</w:t>
      </w:r>
      <w:r>
        <w:rPr>
          <w:rFonts w:hint="default" w:ascii="Times New Roman" w:hAnsi="Times New Roman" w:eastAsia="华文仿宋" w:cs="Consolas"/>
          <w:b w:val="0"/>
          <w:i w:val="0"/>
          <w:iCs w:val="0"/>
          <w:caps w:val="0"/>
          <w:color w:val="000000"/>
          <w:spacing w:val="0"/>
          <w:sz w:val="13"/>
          <w:szCs w:val="8"/>
          <w:shd w:val="clear" w:fill="FFFFFF"/>
        </w:rPr>
        <w:t>300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False</w:t>
      </w:r>
      <w:r>
        <w:rPr>
          <w:rFonts w:hint="default" w:ascii="Code" w:hAnsi="Code" w:eastAsia="华文仿宋" w:cs="Consolas"/>
          <w:i w:val="0"/>
          <w:iCs w:val="0"/>
          <w:caps w:val="0"/>
          <w:color w:val="000000"/>
          <w:spacing w:val="0"/>
          <w:sz w:val="13"/>
          <w:szCs w:val="8"/>
          <w:shd w:val="clear" w:fill="FFFFFF"/>
        </w:rPr>
        <w:t>)  </w:t>
      </w:r>
    </w:p>
    <w:p w14:paraId="4683EA47">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star</w:t>
      </w:r>
      <w:r>
        <w:rPr>
          <w:rFonts w:hint="default" w:ascii="Times New Roman" w:hAnsi="Times New Roman" w:eastAsia="华文仿宋" w:cs="Consolas"/>
          <w:b w:val="0"/>
          <w:i w:val="0"/>
          <w:iCs w:val="0"/>
          <w:caps w:val="0"/>
          <w:color w:val="000000"/>
          <w:spacing w:val="0"/>
          <w:sz w:val="13"/>
          <w:szCs w:val="8"/>
          <w:shd w:val="clear" w:fill="FFFFFF"/>
        </w:rPr>
        <w:t>50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ef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stock</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get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quote</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history</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000688</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beg</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end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12</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31</w:t>
      </w:r>
      <w:r>
        <w:rPr>
          <w:rFonts w:hint="default" w:ascii="Code" w:hAnsi="Code" w:eastAsia="华文仿宋" w:cs="Consolas"/>
          <w:i w:val="0"/>
          <w:iCs w:val="0"/>
          <w:caps w:val="0"/>
          <w:color w:val="000000"/>
          <w:spacing w:val="0"/>
          <w:sz w:val="13"/>
          <w:szCs w:val="8"/>
          <w:shd w:val="clear" w:fill="FFFFFF"/>
        </w:rPr>
        <w:t>')   </w:t>
      </w:r>
    </w:p>
    <w:p w14:paraId="6E4EC75E">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star</w:t>
      </w:r>
      <w:r>
        <w:rPr>
          <w:rFonts w:hint="default" w:ascii="Times New Roman" w:hAnsi="Times New Roman" w:eastAsia="华文仿宋" w:cs="Consolas"/>
          <w:b w:val="0"/>
          <w:i w:val="0"/>
          <w:iCs w:val="0"/>
          <w:caps w:val="0"/>
          <w:color w:val="000000"/>
          <w:spacing w:val="0"/>
          <w:sz w:val="13"/>
          <w:szCs w:val="8"/>
          <w:shd w:val="clear" w:fill="FFFFFF"/>
        </w:rPr>
        <w:t>50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/科创</w:t>
      </w:r>
      <w:r>
        <w:rPr>
          <w:rFonts w:hint="default" w:ascii="Times New Roman" w:hAnsi="Times New Roman" w:eastAsia="华文仿宋" w:cs="Consolas"/>
          <w:b w:val="0"/>
          <w:i w:val="0"/>
          <w:iCs w:val="0"/>
          <w:caps w:val="0"/>
          <w:color w:val="000000"/>
          <w:spacing w:val="0"/>
          <w:sz w:val="13"/>
          <w:szCs w:val="8"/>
          <w:shd w:val="clear" w:fill="FFFFFF"/>
        </w:rPr>
        <w:t>50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False</w:t>
      </w:r>
      <w:r>
        <w:rPr>
          <w:rFonts w:hint="default" w:ascii="Code" w:hAnsi="Code" w:eastAsia="华文仿宋" w:cs="Consolas"/>
          <w:i w:val="0"/>
          <w:iCs w:val="0"/>
          <w:caps w:val="0"/>
          <w:color w:val="000000"/>
          <w:spacing w:val="0"/>
          <w:sz w:val="13"/>
          <w:szCs w:val="8"/>
          <w:shd w:val="clear" w:fill="FFFFFF"/>
        </w:rPr>
        <w:t>)  </w:t>
      </w:r>
    </w:p>
    <w:p w14:paraId="21F5CCA4">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dxy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ak</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quote</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usdx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12</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31</w:t>
      </w:r>
      <w:r>
        <w:rPr>
          <w:rFonts w:hint="default" w:ascii="Code" w:hAnsi="Code" w:eastAsia="华文仿宋" w:cs="Consolas"/>
          <w:i w:val="0"/>
          <w:iCs w:val="0"/>
          <w:caps w:val="0"/>
          <w:color w:val="000000"/>
          <w:spacing w:val="0"/>
          <w:sz w:val="13"/>
          <w:szCs w:val="8"/>
          <w:shd w:val="clear" w:fill="FFFFFF"/>
        </w:rPr>
        <w:t>")    </w:t>
      </w:r>
    </w:p>
    <w:p w14:paraId="158C4D69">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dxy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/美元指数_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False</w:t>
      </w:r>
      <w:r>
        <w:rPr>
          <w:rFonts w:hint="default" w:ascii="Code" w:hAnsi="Code" w:eastAsia="华文仿宋" w:cs="Consolas"/>
          <w:i w:val="0"/>
          <w:iCs w:val="0"/>
          <w:caps w:val="0"/>
          <w:color w:val="000000"/>
          <w:spacing w:val="0"/>
          <w:sz w:val="13"/>
          <w:szCs w:val="8"/>
          <w:shd w:val="clear" w:fill="FFFFFF"/>
        </w:rPr>
        <w:t>)  </w:t>
      </w:r>
    </w:p>
    <w:p w14:paraId="5BCFBE60">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w:t>
      </w:r>
    </w:p>
    <w:p w14:paraId="7DD3F205">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usdcnh</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ak</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spot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quote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USDCNH</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start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end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12</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31</w:t>
      </w:r>
      <w:r>
        <w:rPr>
          <w:rFonts w:hint="default" w:ascii="Code" w:hAnsi="Code" w:eastAsia="华文仿宋" w:cs="Consolas"/>
          <w:i w:val="0"/>
          <w:iCs w:val="0"/>
          <w:caps w:val="0"/>
          <w:color w:val="000000"/>
          <w:spacing w:val="0"/>
          <w:sz w:val="13"/>
          <w:szCs w:val="8"/>
          <w:shd w:val="clear" w:fill="FFFFFF"/>
        </w:rPr>
        <w:t>')  </w:t>
      </w:r>
    </w:p>
    <w:p w14:paraId="6C6775C3">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usdcnh</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USDCNH</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False</w:t>
      </w:r>
      <w:r>
        <w:rPr>
          <w:rFonts w:hint="default" w:ascii="Code" w:hAnsi="Code" w:eastAsia="华文仿宋" w:cs="Consolas"/>
          <w:i w:val="0"/>
          <w:iCs w:val="0"/>
          <w:caps w:val="0"/>
          <w:color w:val="000000"/>
          <w:spacing w:val="0"/>
          <w:sz w:val="13"/>
          <w:szCs w:val="8"/>
          <w:shd w:val="clear" w:fill="FFFFFF"/>
        </w:rPr>
        <w:t>)  </w:t>
      </w:r>
    </w:p>
    <w:p w14:paraId="3EFEFE3F">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usdcny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ak</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spot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quote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USDCNY</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start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end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12</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31</w:t>
      </w:r>
      <w:r>
        <w:rPr>
          <w:rFonts w:hint="default" w:ascii="Code" w:hAnsi="Code" w:eastAsia="华文仿宋" w:cs="Consolas"/>
          <w:i w:val="0"/>
          <w:iCs w:val="0"/>
          <w:caps w:val="0"/>
          <w:color w:val="000000"/>
          <w:spacing w:val="0"/>
          <w:sz w:val="13"/>
          <w:szCs w:val="8"/>
          <w:shd w:val="clear" w:fill="FFFFFF"/>
        </w:rPr>
        <w:t>')  </w:t>
      </w:r>
    </w:p>
    <w:p w14:paraId="7FAC289F">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usdcny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USDCNY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False</w:t>
      </w:r>
      <w:r>
        <w:rPr>
          <w:rFonts w:hint="default" w:ascii="Code" w:hAnsi="Code" w:eastAsia="华文仿宋" w:cs="Consolas"/>
          <w:i w:val="0"/>
          <w:iCs w:val="0"/>
          <w:caps w:val="0"/>
          <w:color w:val="000000"/>
          <w:spacing w:val="0"/>
          <w:sz w:val="13"/>
          <w:szCs w:val="8"/>
          <w:shd w:val="clear" w:fill="FFFFFF"/>
        </w:rPr>
        <w:t>)  </w:t>
      </w:r>
    </w:p>
    <w:p w14:paraId="7563219C">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rmb</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mid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ak</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rmb</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rate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symbol</w:t>
      </w:r>
      <w:r>
        <w:rPr>
          <w:rFonts w:hint="default" w:ascii="Code" w:hAnsi="Code" w:eastAsia="华文仿宋" w:cs="Consolas"/>
          <w:i w:val="0"/>
          <w:iCs w:val="0"/>
          <w:caps w:val="0"/>
          <w:color w:val="000000"/>
          <w:spacing w:val="0"/>
          <w:sz w:val="13"/>
          <w:szCs w:val="8"/>
          <w:shd w:val="clear" w:fill="FFFFFF"/>
        </w:rPr>
        <w:t>="美元/人民币", </w:t>
      </w:r>
      <w:r>
        <w:rPr>
          <w:rFonts w:hint="default" w:ascii="Times New Roman" w:hAnsi="Times New Roman" w:eastAsia="华文仿宋" w:cs="Consolas"/>
          <w:i/>
          <w:iCs w:val="0"/>
          <w:caps w:val="0"/>
          <w:color w:val="000000"/>
          <w:spacing w:val="0"/>
          <w:sz w:val="13"/>
          <w:szCs w:val="8"/>
          <w:shd w:val="clear" w:fill="FFFFFF"/>
        </w:rPr>
        <w:t>start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01</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end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2023</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12</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31</w:t>
      </w:r>
      <w:r>
        <w:rPr>
          <w:rFonts w:hint="default" w:ascii="Code" w:hAnsi="Code" w:eastAsia="华文仿宋" w:cs="Consolas"/>
          <w:i w:val="0"/>
          <w:iCs w:val="0"/>
          <w:caps w:val="0"/>
          <w:color w:val="000000"/>
          <w:spacing w:val="0"/>
          <w:sz w:val="13"/>
          <w:szCs w:val="8"/>
          <w:shd w:val="clear" w:fill="FFFFFF"/>
        </w:rPr>
        <w:t>")  </w:t>
      </w:r>
    </w:p>
    <w:p w14:paraId="3A343AC1">
      <w:pPr>
        <w:keepNext w:val="0"/>
        <w:keepLines w:val="0"/>
        <w:pageBreakBefore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eastAsia"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rmb</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mid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/人民币汇率中间价_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False</w:t>
      </w:r>
      <w:r>
        <w:rPr>
          <w:rFonts w:hint="default" w:ascii="Code" w:hAnsi="Code" w:eastAsia="华文仿宋" w:cs="Consolas"/>
          <w:i w:val="0"/>
          <w:iCs w:val="0"/>
          <w:caps w:val="0"/>
          <w:color w:val="000000"/>
          <w:spacing w:val="0"/>
          <w:sz w:val="13"/>
          <w:szCs w:val="8"/>
          <w:shd w:val="clear" w:fill="FFFFFF"/>
        </w:rPr>
        <w:t>)  </w:t>
      </w:r>
    </w:p>
    <w:p w14:paraId="0617248C">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这些数据包括上证指数、恒生指数、沪深</w:t>
      </w:r>
      <w:r>
        <w:rPr>
          <w:rFonts w:hint="eastAsia" w:ascii="Times New Roman" w:hAnsi="Times New Roman" w:eastAsiaTheme="minorEastAsia"/>
          <w:b w:val="0"/>
          <w:i w:val="0"/>
          <w:highlight w:val="none"/>
        </w:rPr>
        <w:t>300</w:t>
      </w:r>
      <w:r>
        <w:rPr>
          <w:rFonts w:hint="eastAsia" w:asciiTheme="minorEastAsia" w:hAnsiTheme="minorEastAsia" w:eastAsiaTheme="minorEastAsia"/>
          <w:highlight w:val="none"/>
        </w:rPr>
        <w:t>、科创</w:t>
      </w:r>
      <w:r>
        <w:rPr>
          <w:rFonts w:hint="eastAsia" w:ascii="Times New Roman" w:hAnsi="Times New Roman" w:eastAsiaTheme="minorEastAsia"/>
          <w:b w:val="0"/>
          <w:i w:val="0"/>
          <w:highlight w:val="none"/>
        </w:rPr>
        <w:t>50</w:t>
      </w:r>
      <w:r>
        <w:rPr>
          <w:rFonts w:hint="eastAsia" w:asciiTheme="minorEastAsia" w:hAnsiTheme="minorEastAsia" w:eastAsiaTheme="minorEastAsia"/>
          <w:highlight w:val="none"/>
        </w:rPr>
        <w:t>、美元指数、中证</w:t>
      </w:r>
      <w:r>
        <w:rPr>
          <w:rFonts w:hint="eastAsia" w:ascii="Times New Roman" w:hAnsi="Times New Roman" w:eastAsiaTheme="minorEastAsia"/>
          <w:i/>
          <w:highlight w:val="none"/>
        </w:rPr>
        <w:t>A</w:t>
      </w:r>
      <w:r>
        <w:rPr>
          <w:rFonts w:hint="eastAsia" w:ascii="Times New Roman" w:hAnsi="Times New Roman" w:eastAsiaTheme="minorEastAsia"/>
          <w:b w:val="0"/>
          <w:i w:val="0"/>
          <w:highlight w:val="none"/>
        </w:rPr>
        <w:t>100</w:t>
      </w:r>
      <w:r>
        <w:rPr>
          <w:rFonts w:hint="eastAsia" w:asciiTheme="minorEastAsia" w:hAnsiTheme="minorEastAsia" w:eastAsiaTheme="minorEastAsia"/>
          <w:highlight w:val="none"/>
        </w:rPr>
        <w:t>以及人民币汇率中间价等。程序首先定义了</w:t>
      </w:r>
      <w:r>
        <w:rPr>
          <w:rFonts w:hint="eastAsia" w:ascii="Times New Roman" w:hAnsi="Times New Roman" w:eastAsiaTheme="minorEastAsia"/>
          <w:i/>
          <w:highlight w:val="none"/>
        </w:rPr>
        <w:t>load</w:t>
      </w:r>
      <w:r>
        <w:rPr>
          <w:rFonts w:hint="eastAsia" w:asciiTheme="minorEastAsia" w:hAnsiTheme="minorEastAsia" w:eastAsiaTheme="minorEastAsia"/>
          <w:highlight w:val="none"/>
        </w:rPr>
        <w:t>_</w:t>
      </w:r>
      <w:r>
        <w:rPr>
          <w:rFonts w:hint="eastAsia" w:ascii="Times New Roman" w:hAnsi="Times New Roman" w:eastAsiaTheme="minorEastAsia"/>
          <w:i/>
          <w:highlight w:val="none"/>
        </w:rPr>
        <w:t>datasets</w:t>
      </w:r>
      <w:r>
        <w:rPr>
          <w:rFonts w:hint="eastAsia" w:asciiTheme="minorEastAsia" w:hAnsiTheme="minorEastAsia" w:eastAsiaTheme="minorEastAsia"/>
          <w:highlight w:val="none"/>
        </w:rPr>
        <w:t>()函数，将所有数据文件分别读入内存，并存入字典结构中便于后续调用。</w:t>
      </w:r>
    </w:p>
    <w:p w14:paraId="70149142">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ascii="Times New Roman" w:hAnsi="Times New Roman" w:eastAsia="华文仿宋" w:cs="Consolas"/>
          <w:i/>
          <w:iCs w:val="0"/>
          <w:caps w:val="0"/>
          <w:color w:val="000000"/>
          <w:spacing w:val="0"/>
          <w:sz w:val="13"/>
          <w:szCs w:val="8"/>
          <w:shd w:val="clear" w:fill="FFFFFF"/>
        </w:rPr>
        <w:t>def</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load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datasets</w:t>
      </w:r>
      <w:r>
        <w:rPr>
          <w:rFonts w:hint="default" w:ascii="Code" w:hAnsi="Code" w:eastAsia="华文仿宋" w:cs="Consolas"/>
          <w:i w:val="0"/>
          <w:iCs w:val="0"/>
          <w:caps w:val="0"/>
          <w:color w:val="000000"/>
          <w:spacing w:val="0"/>
          <w:sz w:val="13"/>
          <w:szCs w:val="8"/>
          <w:shd w:val="clear" w:fill="FFFFFF"/>
        </w:rPr>
        <w:t>():  </w:t>
      </w:r>
    </w:p>
    <w:p w14:paraId="48C2DC14">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datasets</w:t>
      </w:r>
      <w:r>
        <w:rPr>
          <w:rFonts w:hint="default" w:ascii="Code" w:hAnsi="Code" w:eastAsia="华文仿宋" w:cs="Consolas"/>
          <w:i w:val="0"/>
          <w:iCs w:val="0"/>
          <w:caps w:val="0"/>
          <w:color w:val="000000"/>
          <w:spacing w:val="0"/>
          <w:sz w:val="13"/>
          <w:szCs w:val="8"/>
          <w:shd w:val="clear" w:fill="FFFFFF"/>
        </w:rPr>
        <w:t> = {  </w:t>
      </w:r>
    </w:p>
    <w:p w14:paraId="42A75958">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"上证指数":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/上证指数_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05C49D4F">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"恒生指数":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/恒生指数_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0F256C9D">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"沪深</w:t>
      </w:r>
      <w:r>
        <w:rPr>
          <w:rFonts w:hint="default" w:ascii="Times New Roman" w:hAnsi="Times New Roman" w:eastAsia="华文仿宋" w:cs="Consolas"/>
          <w:b w:val="0"/>
          <w:i w:val="0"/>
          <w:iCs w:val="0"/>
          <w:caps w:val="0"/>
          <w:color w:val="000000"/>
          <w:spacing w:val="0"/>
          <w:sz w:val="13"/>
          <w:szCs w:val="8"/>
          <w:shd w:val="clear" w:fill="FFFFFF"/>
        </w:rPr>
        <w:t>300</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/沪深</w:t>
      </w:r>
      <w:r>
        <w:rPr>
          <w:rFonts w:hint="default" w:ascii="Times New Roman" w:hAnsi="Times New Roman" w:eastAsia="华文仿宋" w:cs="Consolas"/>
          <w:b w:val="0"/>
          <w:i w:val="0"/>
          <w:iCs w:val="0"/>
          <w:caps w:val="0"/>
          <w:color w:val="000000"/>
          <w:spacing w:val="0"/>
          <w:sz w:val="13"/>
          <w:szCs w:val="8"/>
          <w:shd w:val="clear" w:fill="FFFFFF"/>
        </w:rPr>
        <w:t>300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698D8496">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"科创</w:t>
      </w:r>
      <w:r>
        <w:rPr>
          <w:rFonts w:hint="default" w:ascii="Times New Roman" w:hAnsi="Times New Roman" w:eastAsia="华文仿宋" w:cs="Consolas"/>
          <w:b w:val="0"/>
          <w:i w:val="0"/>
          <w:iCs w:val="0"/>
          <w:caps w:val="0"/>
          <w:color w:val="000000"/>
          <w:spacing w:val="0"/>
          <w:sz w:val="13"/>
          <w:szCs w:val="8"/>
          <w:shd w:val="clear" w:fill="FFFFFF"/>
        </w:rPr>
        <w:t>50</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/科创</w:t>
      </w:r>
      <w:r>
        <w:rPr>
          <w:rFonts w:hint="default" w:ascii="Times New Roman" w:hAnsi="Times New Roman" w:eastAsia="华文仿宋" w:cs="Consolas"/>
          <w:b w:val="0"/>
          <w:i w:val="0"/>
          <w:iCs w:val="0"/>
          <w:caps w:val="0"/>
          <w:color w:val="000000"/>
          <w:spacing w:val="0"/>
          <w:sz w:val="13"/>
          <w:szCs w:val="8"/>
          <w:shd w:val="clear" w:fill="FFFFFF"/>
        </w:rPr>
        <w:t>50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2810374B">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"美元指数":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/美元指数_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0F2BCDAD">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"中证</w:t>
      </w:r>
      <w:r>
        <w:rPr>
          <w:rFonts w:hint="default" w:ascii="Times New Roman" w:hAnsi="Times New Roman" w:eastAsia="华文仿宋" w:cs="Consolas"/>
          <w:i/>
          <w:iCs w:val="0"/>
          <w:caps w:val="0"/>
          <w:color w:val="000000"/>
          <w:spacing w:val="0"/>
          <w:sz w:val="13"/>
          <w:szCs w:val="8"/>
          <w:shd w:val="clear" w:fill="FFFFFF"/>
        </w:rPr>
        <w:t>A</w:t>
      </w:r>
      <w:r>
        <w:rPr>
          <w:rFonts w:hint="default" w:ascii="Times New Roman" w:hAnsi="Times New Roman" w:eastAsia="华文仿宋" w:cs="Consolas"/>
          <w:b w:val="0"/>
          <w:i w:val="0"/>
          <w:iCs w:val="0"/>
          <w:caps w:val="0"/>
          <w:color w:val="000000"/>
          <w:spacing w:val="0"/>
          <w:sz w:val="13"/>
          <w:szCs w:val="8"/>
          <w:shd w:val="clear" w:fill="FFFFFF"/>
        </w:rPr>
        <w:t>100</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/中证</w:t>
      </w:r>
      <w:r>
        <w:rPr>
          <w:rFonts w:hint="default" w:ascii="Times New Roman" w:hAnsi="Times New Roman" w:eastAsia="华文仿宋" w:cs="Consolas"/>
          <w:i/>
          <w:iCs w:val="0"/>
          <w:caps w:val="0"/>
          <w:color w:val="000000"/>
          <w:spacing w:val="0"/>
          <w:sz w:val="13"/>
          <w:szCs w:val="8"/>
          <w:shd w:val="clear" w:fill="FFFFFF"/>
        </w:rPr>
        <w:t>A</w:t>
      </w:r>
      <w:r>
        <w:rPr>
          <w:rFonts w:hint="default" w:ascii="Times New Roman" w:hAnsi="Times New Roman" w:eastAsia="华文仿宋" w:cs="Consolas"/>
          <w:b w:val="0"/>
          <w:i w:val="0"/>
          <w:iCs w:val="0"/>
          <w:caps w:val="0"/>
          <w:color w:val="000000"/>
          <w:spacing w:val="0"/>
          <w:sz w:val="13"/>
          <w:szCs w:val="8"/>
          <w:shd w:val="clear" w:fill="FFFFFF"/>
        </w:rPr>
        <w:t>100</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12B345AB">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USDCNH</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USDCNH</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1F7DB0C5">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USDCNY</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USDCNY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150FE850">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"人民币汇率中间价":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read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dataset</w:t>
      </w:r>
      <w:r>
        <w:rPr>
          <w:rFonts w:hint="default" w:ascii="Code" w:hAnsi="Code" w:eastAsia="华文仿宋" w:cs="Consolas"/>
          <w:i w:val="0"/>
          <w:iCs w:val="0"/>
          <w:caps w:val="0"/>
          <w:color w:val="000000"/>
          <w:spacing w:val="0"/>
          <w:sz w:val="13"/>
          <w:szCs w:val="8"/>
          <w:shd w:val="clear" w:fill="FFFFFF"/>
        </w:rPr>
        <w:t>/人民币汇率中间价_</w:t>
      </w:r>
      <w:r>
        <w:rPr>
          <w:rFonts w:hint="default" w:ascii="Times New Roman" w:hAnsi="Times New Roman" w:eastAsia="华文仿宋" w:cs="Consolas"/>
          <w:b w:val="0"/>
          <w:i w:val="0"/>
          <w:iCs w:val="0"/>
          <w:caps w:val="0"/>
          <w:color w:val="000000"/>
          <w:spacing w:val="0"/>
          <w:sz w:val="13"/>
          <w:szCs w:val="8"/>
          <w:shd w:val="clear" w:fill="FFFFFF"/>
        </w:rPr>
        <w:t>2024</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csv</w:t>
      </w:r>
      <w:r>
        <w:rPr>
          <w:rFonts w:hint="default" w:ascii="Code" w:hAnsi="Code" w:eastAsia="华文仿宋" w:cs="Consolas"/>
          <w:i w:val="0"/>
          <w:iCs w:val="0"/>
          <w:caps w:val="0"/>
          <w:color w:val="000000"/>
          <w:spacing w:val="0"/>
          <w:sz w:val="13"/>
          <w:szCs w:val="8"/>
          <w:shd w:val="clear" w:fill="FFFFFF"/>
        </w:rPr>
        <w:t>'),  </w:t>
      </w:r>
    </w:p>
    <w:p w14:paraId="4E0D3B5A">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  </w:t>
      </w:r>
    </w:p>
    <w:p w14:paraId="031AF158">
      <w:pPr>
        <w:keepNext w:val="0"/>
        <w:keepLines w:val="0"/>
        <w:pageBreakBefore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eastAsia" w:asciiTheme="minorEastAsia" w:hAnsiTheme="minorEastAsia" w:eastAsiaTheme="minorEastAsia"/>
          <w:highlight w:val="none"/>
        </w:rPr>
      </w:pP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return</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datasets</w:t>
      </w:r>
      <w:r>
        <w:rPr>
          <w:rFonts w:hint="default" w:ascii="Code" w:hAnsi="Code" w:eastAsia="华文仿宋" w:cs="Consolas"/>
          <w:i w:val="0"/>
          <w:iCs w:val="0"/>
          <w:caps w:val="0"/>
          <w:color w:val="000000"/>
          <w:spacing w:val="0"/>
          <w:sz w:val="13"/>
          <w:szCs w:val="8"/>
          <w:shd w:val="clear" w:fill="FFFFFF"/>
        </w:rPr>
        <w:t>  </w:t>
      </w:r>
    </w:p>
    <w:p w14:paraId="3ACB4A92">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在模型构建与评估环节中，程序实现了两个主要模型：多因素线性回归（</w:t>
      </w:r>
      <w:r>
        <w:rPr>
          <w:rFonts w:hint="eastAsia" w:ascii="Times New Roman" w:hAnsi="Times New Roman" w:eastAsiaTheme="minorEastAsia"/>
          <w:i/>
          <w:highlight w:val="none"/>
        </w:rPr>
        <w:t>Multiple</w:t>
      </w:r>
      <w:r>
        <w:rPr>
          <w:rFonts w:hint="eastAsia" w:asciiTheme="minorEastAsia" w:hAnsiTheme="minorEastAsia" w:eastAsiaTheme="minorEastAsia"/>
          <w:highlight w:val="none"/>
        </w:rPr>
        <w:t xml:space="preserve"> </w:t>
      </w:r>
      <w:r>
        <w:rPr>
          <w:rFonts w:hint="eastAsia" w:ascii="Times New Roman" w:hAnsi="Times New Roman" w:eastAsiaTheme="minorEastAsia"/>
          <w:i/>
          <w:highlight w:val="none"/>
        </w:rPr>
        <w:t>Linear</w:t>
      </w:r>
      <w:r>
        <w:rPr>
          <w:rFonts w:hint="eastAsia" w:asciiTheme="minorEastAsia" w:hAnsiTheme="minorEastAsia" w:eastAsiaTheme="minorEastAsia"/>
          <w:highlight w:val="none"/>
        </w:rPr>
        <w:t xml:space="preserve"> </w:t>
      </w:r>
      <w:r>
        <w:rPr>
          <w:rFonts w:hint="eastAsia" w:ascii="Times New Roman" w:hAnsi="Times New Roman" w:eastAsiaTheme="minorEastAsia"/>
          <w:i/>
          <w:highlight w:val="none"/>
        </w:rPr>
        <w:t>Regression</w:t>
      </w:r>
      <w:r>
        <w:rPr>
          <w:rFonts w:hint="eastAsia" w:asciiTheme="minorEastAsia" w:hAnsiTheme="minorEastAsia" w:eastAsiaTheme="minorEastAsia"/>
          <w:highlight w:val="none"/>
        </w:rPr>
        <w:t>，</w:t>
      </w:r>
      <w:r>
        <w:rPr>
          <w:rFonts w:hint="eastAsia" w:ascii="Times New Roman" w:hAnsi="Times New Roman" w:eastAsiaTheme="minorEastAsia"/>
          <w:i/>
          <w:highlight w:val="none"/>
        </w:rPr>
        <w:t>MLR</w:t>
      </w:r>
      <w:r>
        <w:rPr>
          <w:rFonts w:hint="eastAsia" w:asciiTheme="minorEastAsia" w:hAnsiTheme="minorEastAsia" w:eastAsiaTheme="minorEastAsia"/>
          <w:highlight w:val="none"/>
        </w:rPr>
        <w:t>）与</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 xml:space="preserve"> 回归模型。对于多因素线性回归部分，</w:t>
      </w:r>
      <w:r>
        <w:rPr>
          <w:rFonts w:hint="eastAsia" w:ascii="Times New Roman" w:hAnsi="Times New Roman" w:eastAsiaTheme="minorEastAsia"/>
          <w:i/>
          <w:highlight w:val="none"/>
        </w:rPr>
        <w:t>multiple</w:t>
      </w:r>
      <w:r>
        <w:rPr>
          <w:rFonts w:hint="eastAsia" w:asciiTheme="minorEastAsia" w:hAnsiTheme="minorEastAsia" w:eastAsiaTheme="minorEastAsia"/>
          <w:highlight w:val="none"/>
        </w:rPr>
        <w:t>_</w:t>
      </w:r>
      <w:r>
        <w:rPr>
          <w:rFonts w:hint="eastAsia" w:ascii="Times New Roman" w:hAnsi="Times New Roman" w:eastAsiaTheme="minorEastAsia"/>
          <w:i/>
          <w:highlight w:val="none"/>
        </w:rPr>
        <w:t>linear</w:t>
      </w:r>
      <w:r>
        <w:rPr>
          <w:rFonts w:hint="eastAsia" w:asciiTheme="minorEastAsia" w:hAnsiTheme="minorEastAsia" w:eastAsiaTheme="minorEastAsia"/>
          <w:highlight w:val="none"/>
        </w:rPr>
        <w:t>_</w:t>
      </w:r>
      <w:r>
        <w:rPr>
          <w:rFonts w:hint="eastAsia" w:ascii="Times New Roman" w:hAnsi="Times New Roman" w:eastAsiaTheme="minorEastAsia"/>
          <w:i/>
          <w:highlight w:val="none"/>
        </w:rPr>
        <w:t>regression</w:t>
      </w:r>
      <w:r>
        <w:rPr>
          <w:rFonts w:hint="eastAsia" w:asciiTheme="minorEastAsia" w:hAnsiTheme="minorEastAsia" w:eastAsiaTheme="minorEastAsia"/>
          <w:highlight w:val="none"/>
        </w:rPr>
        <w:t>(</w:t>
      </w:r>
      <w:r>
        <w:rPr>
          <w:rFonts w:hint="eastAsia" w:ascii="Times New Roman" w:hAnsi="Times New Roman" w:eastAsiaTheme="minorEastAsia"/>
          <w:i/>
          <w:highlight w:val="none"/>
        </w:rPr>
        <w:t>datasets</w:t>
      </w:r>
      <w:r>
        <w:rPr>
          <w:rFonts w:hint="eastAsia" w:asciiTheme="minorEastAsia" w:hAnsiTheme="minorEastAsia" w:eastAsiaTheme="minorEastAsia"/>
          <w:highlight w:val="none"/>
        </w:rPr>
        <w:t>)函数通过将上证指数数据与包括恒生指数、沪深</w:t>
      </w:r>
      <w:r>
        <w:rPr>
          <w:rFonts w:hint="eastAsia" w:ascii="Times New Roman" w:hAnsi="Times New Roman" w:eastAsiaTheme="minorEastAsia"/>
          <w:b w:val="0"/>
          <w:i w:val="0"/>
          <w:highlight w:val="none"/>
        </w:rPr>
        <w:t>300</w:t>
      </w:r>
      <w:r>
        <w:rPr>
          <w:rFonts w:hint="eastAsia" w:asciiTheme="minorEastAsia" w:hAnsiTheme="minorEastAsia" w:eastAsiaTheme="minorEastAsia"/>
          <w:highlight w:val="none"/>
        </w:rPr>
        <w:t>、科创</w:t>
      </w:r>
      <w:r>
        <w:rPr>
          <w:rFonts w:hint="eastAsia" w:ascii="Times New Roman" w:hAnsi="Times New Roman" w:eastAsiaTheme="minorEastAsia"/>
          <w:b w:val="0"/>
          <w:i w:val="0"/>
          <w:highlight w:val="none"/>
        </w:rPr>
        <w:t>50</w:t>
      </w:r>
      <w:r>
        <w:rPr>
          <w:rFonts w:hint="eastAsia" w:asciiTheme="minorEastAsia" w:hAnsiTheme="minorEastAsia" w:eastAsiaTheme="minorEastAsia"/>
          <w:highlight w:val="none"/>
        </w:rPr>
        <w:t>、美元指数、中证</w:t>
      </w:r>
      <w:r>
        <w:rPr>
          <w:rFonts w:hint="eastAsia" w:ascii="Times New Roman" w:hAnsi="Times New Roman" w:eastAsiaTheme="minorEastAsia"/>
          <w:i/>
          <w:highlight w:val="none"/>
        </w:rPr>
        <w:t>A</w:t>
      </w:r>
      <w:r>
        <w:rPr>
          <w:rFonts w:hint="eastAsia" w:ascii="Times New Roman" w:hAnsi="Times New Roman" w:eastAsiaTheme="minorEastAsia"/>
          <w:b w:val="0"/>
          <w:i w:val="0"/>
          <w:highlight w:val="none"/>
        </w:rPr>
        <w:t>100</w:t>
      </w:r>
      <w:r>
        <w:rPr>
          <w:rFonts w:hint="eastAsia" w:asciiTheme="minorEastAsia" w:hAnsiTheme="minorEastAsia" w:eastAsiaTheme="minorEastAsia"/>
          <w:highlight w:val="none"/>
        </w:rPr>
        <w:t>在内的多个自变量数据进行合并匹配，确保各自变量与因变量在同一日期对齐。随后，将合并后的数据集划分为训练集与测试集，通过</w:t>
      </w:r>
      <w:r>
        <w:rPr>
          <w:rFonts w:hint="eastAsia" w:ascii="Times New Roman" w:hAnsi="Times New Roman" w:eastAsiaTheme="minorEastAsia"/>
          <w:i/>
          <w:highlight w:val="none"/>
        </w:rPr>
        <w:t>LinearRegression</w:t>
      </w:r>
      <w:r>
        <w:rPr>
          <w:rFonts w:hint="eastAsia" w:asciiTheme="minorEastAsia" w:hAnsiTheme="minorEastAsia" w:eastAsiaTheme="minorEastAsia"/>
          <w:highlight w:val="none"/>
        </w:rPr>
        <w:t>模型进行拟合，最终利用测试集数据进行预测，并计算均方误差（</w:t>
      </w:r>
      <w:r>
        <w:rPr>
          <w:rFonts w:hint="eastAsia" w:ascii="Times New Roman" w:hAnsi="Times New Roman" w:eastAsiaTheme="minorEastAsia"/>
          <w:i/>
          <w:highlight w:val="none"/>
        </w:rPr>
        <w:t>MSE</w:t>
      </w:r>
      <w:r>
        <w:rPr>
          <w:rFonts w:hint="eastAsia" w:asciiTheme="minorEastAsia" w:hAnsiTheme="minorEastAsia" w:eastAsiaTheme="minorEastAsia"/>
          <w:highlight w:val="none"/>
        </w:rPr>
        <w:t>）作为模型评估指标。程序还将实际值与预测值以图形的方式绘制出来，以直观表现模型对市场走势的拟合情况，并将生成的图表输出至指定目录。</w:t>
      </w:r>
    </w:p>
    <w:p w14:paraId="1DCE0F69">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ascii="Times New Roman" w:hAnsi="Times New Roman" w:eastAsia="华文仿宋" w:cs="Consolas"/>
          <w:i/>
          <w:iCs w:val="0"/>
          <w:caps w:val="0"/>
          <w:color w:val="000000"/>
          <w:spacing w:val="0"/>
          <w:sz w:val="13"/>
          <w:szCs w:val="8"/>
          <w:shd w:val="clear" w:fill="FFFFFF"/>
        </w:rPr>
        <w:t>X</w:t>
      </w:r>
      <w:r>
        <w:rPr>
          <w:rFonts w:ascii="Code" w:hAnsi="Code" w:eastAsia="华文仿宋" w:cs="Consolas"/>
          <w:i w:val="0"/>
          <w:iCs w:val="0"/>
          <w:caps w:val="0"/>
          <w:color w:val="000000"/>
          <w:spacing w:val="0"/>
          <w:sz w:val="13"/>
          <w:szCs w:val="8"/>
          <w:shd w:val="clear" w:fill="FFFFFF"/>
        </w:rPr>
        <w:t>_</w:t>
      </w:r>
      <w:r>
        <w:rPr>
          <w:rFonts w:ascii="Times New Roman" w:hAnsi="Times New Roman" w:eastAsia="华文仿宋" w:cs="Consolas"/>
          <w:i/>
          <w:iCs w:val="0"/>
          <w:caps w:val="0"/>
          <w:color w:val="000000"/>
          <w:spacing w:val="0"/>
          <w:sz w:val="13"/>
          <w:szCs w:val="8"/>
          <w:shd w:val="clear" w:fill="FFFFFF"/>
        </w:rPr>
        <w:t>train</w:t>
      </w:r>
      <w:r>
        <w:rPr>
          <w:rFonts w:ascii="Code" w:hAnsi="Code" w:eastAsia="华文仿宋" w:cs="Consolas"/>
          <w:i w:val="0"/>
          <w:iCs w:val="0"/>
          <w:caps w:val="0"/>
          <w:color w:val="000000"/>
          <w:spacing w:val="0"/>
          <w:sz w:val="13"/>
          <w:szCs w:val="8"/>
          <w:shd w:val="clear" w:fill="FFFFFF"/>
        </w:rPr>
        <w:t>, </w:t>
      </w:r>
      <w:r>
        <w:rPr>
          <w:rFonts w:ascii="Times New Roman" w:hAnsi="Times New Roman" w:eastAsia="华文仿宋" w:cs="Consolas"/>
          <w:i/>
          <w:iCs w:val="0"/>
          <w:caps w:val="0"/>
          <w:color w:val="000000"/>
          <w:spacing w:val="0"/>
          <w:sz w:val="13"/>
          <w:szCs w:val="8"/>
          <w:shd w:val="clear" w:fill="FFFFFF"/>
        </w:rPr>
        <w:t>X</w:t>
      </w:r>
      <w:r>
        <w:rPr>
          <w:rFonts w:ascii="Code" w:hAnsi="Code" w:eastAsia="华文仿宋" w:cs="Consolas"/>
          <w:i w:val="0"/>
          <w:iCs w:val="0"/>
          <w:caps w:val="0"/>
          <w:color w:val="000000"/>
          <w:spacing w:val="0"/>
          <w:sz w:val="13"/>
          <w:szCs w:val="8"/>
          <w:shd w:val="clear" w:fill="FFFFFF"/>
        </w:rPr>
        <w:t>_</w:t>
      </w:r>
      <w:r>
        <w:rPr>
          <w:rFonts w:ascii="Times New Roman" w:hAnsi="Times New Roman" w:eastAsia="华文仿宋" w:cs="Consolas"/>
          <w:i/>
          <w:iCs w:val="0"/>
          <w:caps w:val="0"/>
          <w:color w:val="000000"/>
          <w:spacing w:val="0"/>
          <w:sz w:val="13"/>
          <w:szCs w:val="8"/>
          <w:shd w:val="clear" w:fill="FFFFFF"/>
        </w:rPr>
        <w:t>test</w:t>
      </w:r>
      <w:r>
        <w:rPr>
          <w:rFonts w:ascii="Code" w:hAnsi="Code" w:eastAsia="华文仿宋" w:cs="Consolas"/>
          <w:i w:val="0"/>
          <w:iCs w:val="0"/>
          <w:caps w:val="0"/>
          <w:color w:val="000000"/>
          <w:spacing w:val="0"/>
          <w:sz w:val="13"/>
          <w:szCs w:val="8"/>
          <w:shd w:val="clear" w:fill="FFFFFF"/>
        </w:rPr>
        <w:t>, </w:t>
      </w:r>
      <w:r>
        <w:rPr>
          <w:rFonts w:ascii="Times New Roman" w:hAnsi="Times New Roman" w:eastAsia="华文仿宋" w:cs="Consolas"/>
          <w:i/>
          <w:iCs w:val="0"/>
          <w:caps w:val="0"/>
          <w:color w:val="000000"/>
          <w:spacing w:val="0"/>
          <w:sz w:val="13"/>
          <w:szCs w:val="8"/>
          <w:shd w:val="clear" w:fill="FFFFFF"/>
        </w:rPr>
        <w:t>y</w:t>
      </w:r>
      <w:r>
        <w:rPr>
          <w:rFonts w:ascii="Code" w:hAnsi="Code" w:eastAsia="华文仿宋" w:cs="Consolas"/>
          <w:i w:val="0"/>
          <w:iCs w:val="0"/>
          <w:caps w:val="0"/>
          <w:color w:val="000000"/>
          <w:spacing w:val="0"/>
          <w:sz w:val="13"/>
          <w:szCs w:val="8"/>
          <w:shd w:val="clear" w:fill="FFFFFF"/>
        </w:rPr>
        <w:t>_</w:t>
      </w:r>
      <w:r>
        <w:rPr>
          <w:rFonts w:ascii="Times New Roman" w:hAnsi="Times New Roman" w:eastAsia="华文仿宋" w:cs="Consolas"/>
          <w:i/>
          <w:iCs w:val="0"/>
          <w:caps w:val="0"/>
          <w:color w:val="000000"/>
          <w:spacing w:val="0"/>
          <w:sz w:val="13"/>
          <w:szCs w:val="8"/>
          <w:shd w:val="clear" w:fill="FFFFFF"/>
        </w:rPr>
        <w:t>train</w:t>
      </w:r>
      <w:r>
        <w:rPr>
          <w:rFonts w:ascii="Code" w:hAnsi="Code" w:eastAsia="华文仿宋" w:cs="Consolas"/>
          <w:i w:val="0"/>
          <w:iCs w:val="0"/>
          <w:caps w:val="0"/>
          <w:color w:val="000000"/>
          <w:spacing w:val="0"/>
          <w:sz w:val="13"/>
          <w:szCs w:val="8"/>
          <w:shd w:val="clear" w:fill="FFFFFF"/>
        </w:rPr>
        <w:t>, </w:t>
      </w:r>
      <w:r>
        <w:rPr>
          <w:rFonts w:ascii="Times New Roman" w:hAnsi="Times New Roman" w:eastAsia="华文仿宋" w:cs="Consolas"/>
          <w:i/>
          <w:iCs w:val="0"/>
          <w:caps w:val="0"/>
          <w:color w:val="000000"/>
          <w:spacing w:val="0"/>
          <w:sz w:val="13"/>
          <w:szCs w:val="8"/>
          <w:shd w:val="clear" w:fill="FFFFFF"/>
        </w:rPr>
        <w:t>y</w:t>
      </w:r>
      <w:r>
        <w:rPr>
          <w:rFonts w:ascii="Code" w:hAnsi="Code" w:eastAsia="华文仿宋" w:cs="Consolas"/>
          <w:i w:val="0"/>
          <w:iCs w:val="0"/>
          <w:caps w:val="0"/>
          <w:color w:val="000000"/>
          <w:spacing w:val="0"/>
          <w:sz w:val="13"/>
          <w:szCs w:val="8"/>
          <w:shd w:val="clear" w:fill="FFFFFF"/>
        </w:rPr>
        <w:t>_</w:t>
      </w:r>
      <w:r>
        <w:rPr>
          <w:rFonts w:ascii="Times New Roman" w:hAnsi="Times New Roman" w:eastAsia="华文仿宋" w:cs="Consolas"/>
          <w:i/>
          <w:iCs w:val="0"/>
          <w:caps w:val="0"/>
          <w:color w:val="000000"/>
          <w:spacing w:val="0"/>
          <w:sz w:val="13"/>
          <w:szCs w:val="8"/>
          <w:shd w:val="clear" w:fill="FFFFFF"/>
        </w:rPr>
        <w:t>test</w:t>
      </w:r>
      <w:r>
        <w:rPr>
          <w:rFonts w:ascii="Code" w:hAnsi="Code" w:eastAsia="华文仿宋" w:cs="Consolas"/>
          <w:i w:val="0"/>
          <w:iCs w:val="0"/>
          <w:caps w:val="0"/>
          <w:color w:val="000000"/>
          <w:spacing w:val="0"/>
          <w:sz w:val="13"/>
          <w:szCs w:val="8"/>
          <w:shd w:val="clear" w:fill="FFFFFF"/>
        </w:rPr>
        <w:t> = </w:t>
      </w:r>
      <w:r>
        <w:rPr>
          <w:rFonts w:ascii="Times New Roman" w:hAnsi="Times New Roman" w:eastAsia="华文仿宋" w:cs="Consolas"/>
          <w:i/>
          <w:iCs w:val="0"/>
          <w:caps w:val="0"/>
          <w:color w:val="000000"/>
          <w:spacing w:val="0"/>
          <w:sz w:val="13"/>
          <w:szCs w:val="8"/>
          <w:shd w:val="clear" w:fill="FFFFFF"/>
        </w:rPr>
        <w:t>train</w:t>
      </w:r>
      <w:r>
        <w:rPr>
          <w:rFonts w:ascii="Code" w:hAnsi="Code" w:eastAsia="华文仿宋" w:cs="Consolas"/>
          <w:i w:val="0"/>
          <w:iCs w:val="0"/>
          <w:caps w:val="0"/>
          <w:color w:val="000000"/>
          <w:spacing w:val="0"/>
          <w:sz w:val="13"/>
          <w:szCs w:val="8"/>
          <w:shd w:val="clear" w:fill="FFFFFF"/>
        </w:rPr>
        <w:t>_</w:t>
      </w:r>
      <w:r>
        <w:rPr>
          <w:rFonts w:ascii="Times New Roman" w:hAnsi="Times New Roman" w:eastAsia="华文仿宋" w:cs="Consolas"/>
          <w:i/>
          <w:iCs w:val="0"/>
          <w:caps w:val="0"/>
          <w:color w:val="000000"/>
          <w:spacing w:val="0"/>
          <w:sz w:val="13"/>
          <w:szCs w:val="8"/>
          <w:shd w:val="clear" w:fill="FFFFFF"/>
        </w:rPr>
        <w:t>test</w:t>
      </w:r>
      <w:r>
        <w:rPr>
          <w:rFonts w:ascii="Code" w:hAnsi="Code" w:eastAsia="华文仿宋" w:cs="Consolas"/>
          <w:i w:val="0"/>
          <w:iCs w:val="0"/>
          <w:caps w:val="0"/>
          <w:color w:val="000000"/>
          <w:spacing w:val="0"/>
          <w:sz w:val="13"/>
          <w:szCs w:val="8"/>
          <w:shd w:val="clear" w:fill="FFFFFF"/>
        </w:rPr>
        <w:t>_</w:t>
      </w:r>
      <w:r>
        <w:rPr>
          <w:rFonts w:ascii="Times New Roman" w:hAnsi="Times New Roman" w:eastAsia="华文仿宋" w:cs="Consolas"/>
          <w:i/>
          <w:iCs w:val="0"/>
          <w:caps w:val="0"/>
          <w:color w:val="000000"/>
          <w:spacing w:val="0"/>
          <w:sz w:val="13"/>
          <w:szCs w:val="8"/>
          <w:shd w:val="clear" w:fill="FFFFFF"/>
        </w:rPr>
        <w:t>split</w:t>
      </w:r>
      <w:r>
        <w:rPr>
          <w:rFonts w:ascii="Code" w:hAnsi="Code" w:eastAsia="华文仿宋" w:cs="Consolas"/>
          <w:i w:val="0"/>
          <w:iCs w:val="0"/>
          <w:caps w:val="0"/>
          <w:color w:val="000000"/>
          <w:spacing w:val="0"/>
          <w:sz w:val="13"/>
          <w:szCs w:val="8"/>
          <w:shd w:val="clear" w:fill="FFFFFF"/>
        </w:rPr>
        <w:t>(</w:t>
      </w:r>
      <w:r>
        <w:rPr>
          <w:rFonts w:ascii="Times New Roman" w:hAnsi="Times New Roman" w:eastAsia="华文仿宋" w:cs="Consolas"/>
          <w:i/>
          <w:iCs w:val="0"/>
          <w:caps w:val="0"/>
          <w:color w:val="000000"/>
          <w:spacing w:val="0"/>
          <w:sz w:val="13"/>
          <w:szCs w:val="8"/>
          <w:shd w:val="clear" w:fill="FFFFFF"/>
        </w:rPr>
        <w:t>X</w:t>
      </w:r>
      <w:r>
        <w:rPr>
          <w:rFonts w:ascii="Code" w:hAnsi="Code" w:eastAsia="华文仿宋" w:cs="Consolas"/>
          <w:i w:val="0"/>
          <w:iCs w:val="0"/>
          <w:caps w:val="0"/>
          <w:color w:val="000000"/>
          <w:spacing w:val="0"/>
          <w:sz w:val="13"/>
          <w:szCs w:val="8"/>
          <w:shd w:val="clear" w:fill="FFFFFF"/>
        </w:rPr>
        <w:t>, </w:t>
      </w:r>
      <w:r>
        <w:rPr>
          <w:rFonts w:ascii="Times New Roman" w:hAnsi="Times New Roman" w:eastAsia="华文仿宋" w:cs="Consolas"/>
          <w:i/>
          <w:iCs w:val="0"/>
          <w:caps w:val="0"/>
          <w:color w:val="000000"/>
          <w:spacing w:val="0"/>
          <w:sz w:val="13"/>
          <w:szCs w:val="8"/>
          <w:shd w:val="clear" w:fill="FFFFFF"/>
        </w:rPr>
        <w:t>y</w:t>
      </w:r>
      <w:r>
        <w:rPr>
          <w:rFonts w:ascii="Code" w:hAnsi="Code" w:eastAsia="华文仿宋" w:cs="Consolas"/>
          <w:i w:val="0"/>
          <w:iCs w:val="0"/>
          <w:caps w:val="0"/>
          <w:color w:val="000000"/>
          <w:spacing w:val="0"/>
          <w:sz w:val="13"/>
          <w:szCs w:val="8"/>
          <w:shd w:val="clear" w:fill="FFFFFF"/>
        </w:rPr>
        <w:t>, </w:t>
      </w:r>
      <w:r>
        <w:rPr>
          <w:rFonts w:ascii="Times New Roman" w:hAnsi="Times New Roman" w:eastAsia="华文仿宋" w:cs="Consolas"/>
          <w:i/>
          <w:iCs w:val="0"/>
          <w:caps w:val="0"/>
          <w:color w:val="000000"/>
          <w:spacing w:val="0"/>
          <w:sz w:val="13"/>
          <w:szCs w:val="8"/>
          <w:shd w:val="clear" w:fill="FFFFFF"/>
        </w:rPr>
        <w:t>test</w:t>
      </w:r>
      <w:r>
        <w:rPr>
          <w:rFonts w:ascii="Code" w:hAnsi="Code" w:eastAsia="华文仿宋" w:cs="Consolas"/>
          <w:i w:val="0"/>
          <w:iCs w:val="0"/>
          <w:caps w:val="0"/>
          <w:color w:val="000000"/>
          <w:spacing w:val="0"/>
          <w:sz w:val="13"/>
          <w:szCs w:val="8"/>
          <w:shd w:val="clear" w:fill="FFFFFF"/>
        </w:rPr>
        <w:t>_</w:t>
      </w:r>
      <w:r>
        <w:rPr>
          <w:rFonts w:ascii="Times New Roman" w:hAnsi="Times New Roman" w:eastAsia="华文仿宋" w:cs="Consolas"/>
          <w:i/>
          <w:iCs w:val="0"/>
          <w:caps w:val="0"/>
          <w:color w:val="000000"/>
          <w:spacing w:val="0"/>
          <w:sz w:val="13"/>
          <w:szCs w:val="8"/>
          <w:shd w:val="clear" w:fill="FFFFFF"/>
        </w:rPr>
        <w:t>size</w:t>
      </w:r>
      <w:r>
        <w:rPr>
          <w:rFonts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2</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random</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state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42</w:t>
      </w:r>
      <w:r>
        <w:rPr>
          <w:rFonts w:hint="default" w:ascii="Code" w:hAnsi="Code" w:eastAsia="华文仿宋" w:cs="Consolas"/>
          <w:i w:val="0"/>
          <w:iCs w:val="0"/>
          <w:caps w:val="0"/>
          <w:color w:val="000000"/>
          <w:spacing w:val="0"/>
          <w:sz w:val="13"/>
          <w:szCs w:val="8"/>
          <w:shd w:val="clear" w:fill="FFFFFF"/>
        </w:rPr>
        <w:t>)  </w:t>
      </w:r>
    </w:p>
    <w:p w14:paraId="484A29B8">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model</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LinearRegression</w:t>
      </w:r>
      <w:r>
        <w:rPr>
          <w:rFonts w:hint="default" w:ascii="Code" w:hAnsi="Code" w:eastAsia="华文仿宋" w:cs="Consolas"/>
          <w:i w:val="0"/>
          <w:iCs w:val="0"/>
          <w:caps w:val="0"/>
          <w:color w:val="000000"/>
          <w:spacing w:val="0"/>
          <w:sz w:val="13"/>
          <w:szCs w:val="8"/>
          <w:shd w:val="clear" w:fill="FFFFFF"/>
        </w:rPr>
        <w:t>()  </w:t>
      </w:r>
    </w:p>
    <w:p w14:paraId="4ACAD055">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model</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fit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train</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train</w:t>
      </w:r>
      <w:r>
        <w:rPr>
          <w:rFonts w:hint="default" w:ascii="Code" w:hAnsi="Code" w:eastAsia="华文仿宋" w:cs="Consolas"/>
          <w:i w:val="0"/>
          <w:iCs w:val="0"/>
          <w:caps w:val="0"/>
          <w:color w:val="000000"/>
          <w:spacing w:val="0"/>
          <w:sz w:val="13"/>
          <w:szCs w:val="8"/>
          <w:shd w:val="clear" w:fill="FFFFFF"/>
        </w:rPr>
        <w:t>)  </w:t>
      </w:r>
    </w:p>
    <w:p w14:paraId="2269A477">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pred</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model</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predict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test</w:t>
      </w:r>
      <w:r>
        <w:rPr>
          <w:rFonts w:hint="default" w:ascii="Code" w:hAnsi="Code" w:eastAsia="华文仿宋" w:cs="Consolas"/>
          <w:i w:val="0"/>
          <w:iCs w:val="0"/>
          <w:caps w:val="0"/>
          <w:color w:val="000000"/>
          <w:spacing w:val="0"/>
          <w:sz w:val="13"/>
          <w:szCs w:val="8"/>
          <w:shd w:val="clear" w:fill="FFFFFF"/>
        </w:rPr>
        <w:t>)  </w:t>
      </w:r>
    </w:p>
    <w:p w14:paraId="543E151B">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mse</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mean</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squared</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error</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test</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y</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pred</w:t>
      </w:r>
      <w:r>
        <w:rPr>
          <w:rFonts w:hint="default" w:ascii="Code" w:hAnsi="Code" w:eastAsia="华文仿宋" w:cs="Consolas"/>
          <w:i w:val="0"/>
          <w:iCs w:val="0"/>
          <w:caps w:val="0"/>
          <w:color w:val="000000"/>
          <w:spacing w:val="0"/>
          <w:sz w:val="13"/>
          <w:szCs w:val="8"/>
          <w:shd w:val="clear" w:fill="FFFFFF"/>
        </w:rPr>
        <w:t>)  </w:t>
      </w:r>
    </w:p>
    <w:p w14:paraId="24F74CA2">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print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MSE</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mse</w:t>
      </w:r>
      <w:r>
        <w:rPr>
          <w:rFonts w:hint="default" w:ascii="Code" w:hAnsi="Code" w:eastAsia="华文仿宋" w:cs="Consolas"/>
          <w:i w:val="0"/>
          <w:iCs w:val="0"/>
          <w:caps w:val="0"/>
          <w:color w:val="000000"/>
          <w:spacing w:val="0"/>
          <w:sz w:val="13"/>
          <w:szCs w:val="8"/>
          <w:shd w:val="clear" w:fill="FFFFFF"/>
        </w:rPr>
        <w:t>}')  </w:t>
      </w:r>
    </w:p>
    <w:p w14:paraId="3314F139">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w:t>
      </w:r>
    </w:p>
    <w:p w14:paraId="534C7FE5">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lasso</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LassoCV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cv</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5</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random</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state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42</w:t>
      </w:r>
      <w:r>
        <w:rPr>
          <w:rFonts w:hint="default" w:ascii="Code" w:hAnsi="Code" w:eastAsia="华文仿宋" w:cs="Consolas"/>
          <w:i w:val="0"/>
          <w:iCs w:val="0"/>
          <w:caps w:val="0"/>
          <w:color w:val="000000"/>
          <w:spacing w:val="0"/>
          <w:sz w:val="13"/>
          <w:szCs w:val="8"/>
          <w:shd w:val="clear" w:fill="FFFFFF"/>
        </w:rPr>
        <w:t>)  </w:t>
      </w:r>
    </w:p>
    <w:p w14:paraId="55C282D8">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lasso</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fit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scaled</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y</w:t>
      </w:r>
      <w:r>
        <w:rPr>
          <w:rFonts w:hint="default" w:ascii="Code" w:hAnsi="Code" w:eastAsia="华文仿宋" w:cs="Consolas"/>
          <w:i w:val="0"/>
          <w:iCs w:val="0"/>
          <w:caps w:val="0"/>
          <w:color w:val="000000"/>
          <w:spacing w:val="0"/>
          <w:sz w:val="13"/>
          <w:szCs w:val="8"/>
          <w:shd w:val="clear" w:fill="FFFFFF"/>
        </w:rPr>
        <w:t>)  </w:t>
      </w:r>
    </w:p>
    <w:p w14:paraId="7241040D">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scatter</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y</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color</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blue</w:t>
      </w:r>
      <w:r>
        <w:rPr>
          <w:rFonts w:hint="default" w:ascii="Code" w:hAnsi="Code" w:eastAsia="华文仿宋" w:cs="Consolas"/>
          <w:i w:val="0"/>
          <w:iCs w:val="0"/>
          <w:caps w:val="0"/>
          <w:color w:val="000000"/>
          <w:spacing w:val="0"/>
          <w:sz w:val="13"/>
          <w:szCs w:val="8"/>
          <w:shd w:val="clear" w:fill="FFFFFF"/>
        </w:rPr>
        <w:t>')  </w:t>
      </w:r>
    </w:p>
    <w:p w14:paraId="082217B8">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plot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lasso</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predict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scaled</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color</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red</w:t>
      </w:r>
      <w:r>
        <w:rPr>
          <w:rFonts w:hint="default" w:ascii="Code" w:hAnsi="Code" w:eastAsia="华文仿宋" w:cs="Consolas"/>
          <w:i w:val="0"/>
          <w:iCs w:val="0"/>
          <w:caps w:val="0"/>
          <w:color w:val="000000"/>
          <w:spacing w:val="0"/>
          <w:sz w:val="13"/>
          <w:szCs w:val="8"/>
          <w:shd w:val="clear" w:fill="FFFFFF"/>
        </w:rPr>
        <w:t>')  </w:t>
      </w:r>
    </w:p>
    <w:p w14:paraId="7E46E62E">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title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Lasso</w:t>
      </w:r>
      <w:r>
        <w:rPr>
          <w:rFonts w:hint="default" w:ascii="Code" w:hAnsi="Code" w:eastAsia="华文仿宋" w:cs="Consolas"/>
          <w:i w:val="0"/>
          <w:iCs w:val="0"/>
          <w:caps w:val="0"/>
          <w:color w:val="000000"/>
          <w:spacing w:val="0"/>
          <w:sz w:val="13"/>
          <w:szCs w:val="8"/>
          <w:shd w:val="clear" w:fill="FFFFFF"/>
        </w:rPr>
        <w:t> 回归')  </w:t>
      </w:r>
    </w:p>
    <w:p w14:paraId="407AB11C">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xlabel</w:t>
      </w:r>
      <w:r>
        <w:rPr>
          <w:rFonts w:hint="default" w:ascii="Code" w:hAnsi="Code" w:eastAsia="华文仿宋" w:cs="Consolas"/>
          <w:i w:val="0"/>
          <w:iCs w:val="0"/>
          <w:caps w:val="0"/>
          <w:color w:val="000000"/>
          <w:spacing w:val="0"/>
          <w:sz w:val="13"/>
          <w:szCs w:val="8"/>
          <w:shd w:val="clear" w:fill="FFFFFF"/>
        </w:rPr>
        <w:t>('恒生指数')  </w:t>
      </w:r>
    </w:p>
    <w:p w14:paraId="1184999C">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ylabel</w:t>
      </w:r>
      <w:r>
        <w:rPr>
          <w:rFonts w:hint="default" w:ascii="Code" w:hAnsi="Code" w:eastAsia="华文仿宋" w:cs="Consolas"/>
          <w:i w:val="0"/>
          <w:iCs w:val="0"/>
          <w:caps w:val="0"/>
          <w:color w:val="000000"/>
          <w:spacing w:val="0"/>
          <w:sz w:val="13"/>
          <w:szCs w:val="8"/>
          <w:shd w:val="clear" w:fill="FFFFFF"/>
        </w:rPr>
        <w:t>('上证指数')  </w:t>
      </w:r>
    </w:p>
    <w:p w14:paraId="61674F12">
      <w:pPr>
        <w:keepNext w:val="0"/>
        <w:keepLines w:val="0"/>
        <w:pageBreakBefore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eastAsia" w:asciiTheme="minorEastAsia" w:hAnsiTheme="minorEastAsia" w:eastAsiaTheme="minorEastAsia"/>
          <w:highlight w:val="none"/>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savefig</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output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lasso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b w:val="0"/>
          <w:i w:val="0"/>
          <w:iCs w:val="0"/>
          <w:caps w:val="0"/>
          <w:color w:val="000000"/>
          <w:spacing w:val="0"/>
          <w:sz w:val="13"/>
          <w:szCs w:val="8"/>
          <w:shd w:val="clear" w:fill="FFFFFF"/>
        </w:rPr>
        <w:t>1</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lasso</w:t>
      </w:r>
      <w:r>
        <w:rPr>
          <w:rFonts w:hint="default" w:ascii="Code" w:hAnsi="Code" w:eastAsia="华文仿宋" w:cs="Consolas"/>
          <w:i w:val="0"/>
          <w:iCs w:val="0"/>
          <w:caps w:val="0"/>
          <w:color w:val="000000"/>
          <w:spacing w:val="0"/>
          <w:sz w:val="13"/>
          <w:szCs w:val="8"/>
          <w:shd w:val="clear" w:fill="FFFFFF"/>
        </w:rPr>
        <w:t>_恒生_上证.</w:t>
      </w:r>
      <w:r>
        <w:rPr>
          <w:rFonts w:hint="default" w:ascii="Times New Roman" w:hAnsi="Times New Roman" w:eastAsia="华文仿宋" w:cs="Consolas"/>
          <w:i/>
          <w:iCs w:val="0"/>
          <w:caps w:val="0"/>
          <w:color w:val="000000"/>
          <w:spacing w:val="0"/>
          <w:sz w:val="13"/>
          <w:szCs w:val="8"/>
          <w:shd w:val="clear" w:fill="FFFFFF"/>
        </w:rPr>
        <w:t>png</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dpi</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300</w:t>
      </w:r>
      <w:r>
        <w:rPr>
          <w:rFonts w:hint="default" w:ascii="Code" w:hAnsi="Code" w:eastAsia="华文仿宋" w:cs="Consolas"/>
          <w:i w:val="0"/>
          <w:iCs w:val="0"/>
          <w:caps w:val="0"/>
          <w:color w:val="000000"/>
          <w:spacing w:val="0"/>
          <w:sz w:val="13"/>
          <w:szCs w:val="8"/>
          <w:shd w:val="clear" w:fill="FFFFFF"/>
        </w:rPr>
        <w:t>)  </w:t>
      </w:r>
    </w:p>
    <w:p w14:paraId="4BB34C05">
      <w:pPr>
        <w:ind w:firstLine="420"/>
        <w:rPr>
          <w:rFonts w:hint="eastAsia" w:asciiTheme="minorEastAsia" w:hAnsiTheme="minorEastAsia" w:eastAsiaTheme="minorEastAsia"/>
          <w:highlight w:val="none"/>
        </w:rPr>
      </w:pP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 xml:space="preserve"> 回归环节中，</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_</w:t>
      </w:r>
      <w:r>
        <w:rPr>
          <w:rFonts w:hint="eastAsia" w:ascii="Times New Roman" w:hAnsi="Times New Roman" w:eastAsiaTheme="minorEastAsia"/>
          <w:i/>
          <w:highlight w:val="none"/>
        </w:rPr>
        <w:t>regression</w:t>
      </w:r>
      <w:r>
        <w:rPr>
          <w:rFonts w:hint="eastAsia" w:asciiTheme="minorEastAsia" w:hAnsiTheme="minorEastAsia" w:eastAsiaTheme="minorEastAsia"/>
          <w:highlight w:val="none"/>
        </w:rPr>
        <w:t>(</w:t>
      </w:r>
      <w:r>
        <w:rPr>
          <w:rFonts w:hint="eastAsia" w:ascii="Times New Roman" w:hAnsi="Times New Roman" w:eastAsiaTheme="minorEastAsia"/>
          <w:i/>
          <w:highlight w:val="none"/>
        </w:rPr>
        <w:t>datasets</w:t>
      </w:r>
      <w:r>
        <w:rPr>
          <w:rFonts w:hint="eastAsia" w:asciiTheme="minorEastAsia" w:hAnsiTheme="minorEastAsia" w:eastAsiaTheme="minorEastAsia"/>
          <w:highlight w:val="none"/>
        </w:rPr>
        <w:t>)函数则以上证指数与恒生指数这两个变量为例进行说明。程序先对数据进行日期对齐与合并，然后将恒生指数作为自变量，标准化处理后输入</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回归模型进行训练。通过</w:t>
      </w:r>
      <w:r>
        <w:rPr>
          <w:rFonts w:hint="eastAsia" w:ascii="Times New Roman" w:hAnsi="Times New Roman" w:eastAsiaTheme="minorEastAsia"/>
          <w:i/>
          <w:highlight w:val="none"/>
        </w:rPr>
        <w:t>LassoCV</w:t>
      </w:r>
      <w:r>
        <w:rPr>
          <w:rFonts w:hint="eastAsia" w:asciiTheme="minorEastAsia" w:hAnsiTheme="minorEastAsia" w:eastAsiaTheme="minorEastAsia"/>
          <w:highlight w:val="none"/>
        </w:rPr>
        <w:t>方法自动选择正则化参数，程序获得了较为稳健的模型参数。将预测直线与实际数据点在同一坐标系中绘制，使读者可直接观察</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回归模型对两者间关系的拟合表现。</w:t>
      </w:r>
    </w:p>
    <w:p w14:paraId="3F583530">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 = </w:t>
      </w:r>
      <w:r>
        <w:rPr>
          <w:rFonts w:hint="default" w:ascii="Times New Roman" w:hAnsi="Times New Roman" w:eastAsia="华文仿宋" w:cs="Consolas"/>
          <w:i/>
          <w:iCs w:val="0"/>
          <w:caps w:val="0"/>
          <w:color w:val="000000"/>
          <w:spacing w:val="0"/>
          <w:sz w:val="13"/>
          <w:szCs w:val="8"/>
          <w:shd w:val="clear" w:fill="FFFFFF"/>
        </w:rPr>
        <w:t>pd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datetime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numpy</w:t>
      </w:r>
      <w:r>
        <w:rPr>
          <w:rFonts w:hint="default" w:ascii="Code" w:hAnsi="Code" w:eastAsia="华文仿宋" w:cs="Consolas"/>
          <w:i w:val="0"/>
          <w:iCs w:val="0"/>
          <w:caps w:val="0"/>
          <w:color w:val="000000"/>
          <w:spacing w:val="0"/>
          <w:sz w:val="13"/>
          <w:szCs w:val="8"/>
          <w:shd w:val="clear" w:fill="FFFFFF"/>
        </w:rPr>
        <w:t>())  </w:t>
      </w:r>
    </w:p>
    <w:p w14:paraId="7FB52BC4">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figure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figsize</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10</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b w:val="0"/>
          <w:i w:val="0"/>
          <w:iCs w:val="0"/>
          <w:caps w:val="0"/>
          <w:color w:val="000000"/>
          <w:spacing w:val="0"/>
          <w:sz w:val="13"/>
          <w:szCs w:val="8"/>
          <w:shd w:val="clear" w:fill="FFFFFF"/>
        </w:rPr>
        <w:t>8</w:t>
      </w:r>
      <w:r>
        <w:rPr>
          <w:rFonts w:hint="default" w:ascii="Code" w:hAnsi="Code" w:eastAsia="华文仿宋" w:cs="Consolas"/>
          <w:i w:val="0"/>
          <w:iCs w:val="0"/>
          <w:caps w:val="0"/>
          <w:color w:val="000000"/>
          <w:spacing w:val="0"/>
          <w:sz w:val="13"/>
          <w:szCs w:val="8"/>
          <w:shd w:val="clear" w:fill="FFFFFF"/>
        </w:rPr>
        <w:t>))  </w:t>
      </w:r>
    </w:p>
    <w:p w14:paraId="5560B630">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for</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col</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in</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df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columns</w:t>
      </w:r>
      <w:r>
        <w:rPr>
          <w:rFonts w:hint="default" w:ascii="Code" w:hAnsi="Code" w:eastAsia="华文仿宋" w:cs="Consolas"/>
          <w:i w:val="0"/>
          <w:iCs w:val="0"/>
          <w:caps w:val="0"/>
          <w:color w:val="000000"/>
          <w:spacing w:val="0"/>
          <w:sz w:val="13"/>
          <w:szCs w:val="8"/>
          <w:shd w:val="clear" w:fill="FFFFFF"/>
        </w:rPr>
        <w:t>:  </w:t>
      </w:r>
    </w:p>
    <w:p w14:paraId="451E8617">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plot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df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col</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label</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col</w:t>
      </w:r>
      <w:r>
        <w:rPr>
          <w:rFonts w:hint="default" w:ascii="Code" w:hAnsi="Code" w:eastAsia="华文仿宋" w:cs="Consolas"/>
          <w:i w:val="0"/>
          <w:iCs w:val="0"/>
          <w:caps w:val="0"/>
          <w:color w:val="000000"/>
          <w:spacing w:val="0"/>
          <w:sz w:val="13"/>
          <w:szCs w:val="8"/>
          <w:shd w:val="clear" w:fill="FFFFFF"/>
        </w:rPr>
        <w:t>)  </w:t>
      </w:r>
    </w:p>
    <w:p w14:paraId="4F0F6A42">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xticks</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ticks</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15</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labels</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df</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index</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15</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rotation</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45</w:t>
      </w:r>
      <w:r>
        <w:rPr>
          <w:rFonts w:hint="default" w:ascii="Code" w:hAnsi="Code" w:eastAsia="华文仿宋" w:cs="Consolas"/>
          <w:i w:val="0"/>
          <w:iCs w:val="0"/>
          <w:caps w:val="0"/>
          <w:color w:val="000000"/>
          <w:spacing w:val="0"/>
          <w:sz w:val="13"/>
          <w:szCs w:val="8"/>
          <w:shd w:val="clear" w:fill="FFFFFF"/>
        </w:rPr>
        <w:t>)  </w:t>
      </w:r>
    </w:p>
    <w:p w14:paraId="221A4DC1">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title</w:t>
      </w:r>
      <w:r>
        <w:rPr>
          <w:rFonts w:hint="default" w:ascii="Code" w:hAnsi="Code" w:eastAsia="华文仿宋" w:cs="Consolas"/>
          <w:i w:val="0"/>
          <w:iCs w:val="0"/>
          <w:caps w:val="0"/>
          <w:color w:val="000000"/>
          <w:spacing w:val="0"/>
          <w:sz w:val="13"/>
          <w:szCs w:val="8"/>
          <w:shd w:val="clear" w:fill="FFFFFF"/>
        </w:rPr>
        <w:t>('人民币汇率中间价')  </w:t>
      </w:r>
    </w:p>
    <w:p w14:paraId="43D69F72">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legend</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loc</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upper</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center</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bbox</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to</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anchor</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0</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5</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b w:val="0"/>
          <w:i w:val="0"/>
          <w:iCs w:val="0"/>
          <w:caps w:val="0"/>
          <w:color w:val="000000"/>
          <w:spacing w:val="0"/>
          <w:sz w:val="13"/>
          <w:szCs w:val="8"/>
          <w:shd w:val="clear" w:fill="FFFFFF"/>
        </w:rPr>
        <w:t>0</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15</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ncol</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7</w:t>
      </w:r>
      <w:r>
        <w:rPr>
          <w:rFonts w:hint="default" w:ascii="Code" w:hAnsi="Code" w:eastAsia="华文仿宋" w:cs="Consolas"/>
          <w:i w:val="0"/>
          <w:iCs w:val="0"/>
          <w:caps w:val="0"/>
          <w:color w:val="000000"/>
          <w:spacing w:val="0"/>
          <w:sz w:val="13"/>
          <w:szCs w:val="8"/>
          <w:shd w:val="clear" w:fill="FFFFFF"/>
        </w:rPr>
        <w:t>)  </w:t>
      </w:r>
    </w:p>
    <w:p w14:paraId="0BCAB948">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default" w:ascii="Code" w:hAnsi="Code" w:eastAsia="华文仿宋" w:cs="Consolas"/>
          <w:i w:val="0"/>
          <w:iCs w:val="0"/>
          <w:caps w:val="0"/>
          <w:color w:val="000000"/>
          <w:spacing w:val="0"/>
          <w:sz w:val="13"/>
          <w:szCs w:val="8"/>
          <w:shd w:val="clear" w:fill="FFFFFF"/>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tight</w:t>
      </w:r>
      <w:r>
        <w:rPr>
          <w:rFonts w:hint="default" w:ascii="Code" w:hAnsi="Code" w:eastAsia="华文仿宋" w:cs="Consolas"/>
          <w:i w:val="0"/>
          <w:iCs w:val="0"/>
          <w:caps w:val="0"/>
          <w:color w:val="000000"/>
          <w:spacing w:val="0"/>
          <w:sz w:val="13"/>
          <w:szCs w:val="8"/>
          <w:shd w:val="clear" w:fill="FFFFFF"/>
        </w:rPr>
        <w:t>_</w:t>
      </w:r>
      <w:r>
        <w:rPr>
          <w:rFonts w:hint="default" w:ascii="Times New Roman" w:hAnsi="Times New Roman" w:eastAsia="华文仿宋" w:cs="Consolas"/>
          <w:i/>
          <w:iCs w:val="0"/>
          <w:caps w:val="0"/>
          <w:color w:val="000000"/>
          <w:spacing w:val="0"/>
          <w:sz w:val="13"/>
          <w:szCs w:val="8"/>
          <w:shd w:val="clear" w:fill="FFFFFF"/>
        </w:rPr>
        <w:t>layout</w:t>
      </w:r>
      <w:r>
        <w:rPr>
          <w:rFonts w:hint="default" w:ascii="Code" w:hAnsi="Code" w:eastAsia="华文仿宋" w:cs="Consolas"/>
          <w:i w:val="0"/>
          <w:iCs w:val="0"/>
          <w:caps w:val="0"/>
          <w:color w:val="000000"/>
          <w:spacing w:val="0"/>
          <w:sz w:val="13"/>
          <w:szCs w:val="8"/>
          <w:shd w:val="clear" w:fill="FFFFFF"/>
        </w:rPr>
        <w:t>()  </w:t>
      </w:r>
    </w:p>
    <w:p w14:paraId="6E42ADF4">
      <w:pPr>
        <w:keepNext w:val="0"/>
        <w:keepLines w:val="0"/>
        <w:pageBreakBefore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0" w:afterAutospacing="0" w:line="105" w:lineRule="atLeast"/>
        <w:ind w:left="340" w:right="0" w:firstLine="0" w:firstLineChars="0"/>
        <w:jc w:val="left"/>
        <w:textAlignment w:val="auto"/>
        <w:rPr>
          <w:rFonts w:hint="eastAsia" w:asciiTheme="minorEastAsia" w:hAnsiTheme="minorEastAsia" w:eastAsiaTheme="minorEastAsia"/>
          <w:highlight w:val="none"/>
        </w:rPr>
      </w:pPr>
      <w:r>
        <w:rPr>
          <w:rFonts w:hint="default" w:ascii="Times New Roman" w:hAnsi="Times New Roman" w:eastAsia="华文仿宋" w:cs="Consolas"/>
          <w:i/>
          <w:iCs w:val="0"/>
          <w:caps w:val="0"/>
          <w:color w:val="000000"/>
          <w:spacing w:val="0"/>
          <w:sz w:val="13"/>
          <w:szCs w:val="8"/>
          <w:shd w:val="clear" w:fill="FFFFFF"/>
        </w:rPr>
        <w:t>plt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savefig</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output</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i/>
          <w:iCs w:val="0"/>
          <w:caps w:val="0"/>
          <w:color w:val="000000"/>
          <w:spacing w:val="0"/>
          <w:sz w:val="13"/>
          <w:szCs w:val="8"/>
          <w:shd w:val="clear" w:fill="FFFFFF"/>
        </w:rPr>
        <w:t>display</w:t>
      </w:r>
      <w:r>
        <w:rPr>
          <w:rFonts w:hint="default" w:ascii="Code" w:hAnsi="Code" w:eastAsia="华文仿宋" w:cs="Consolas"/>
          <w:i w:val="0"/>
          <w:iCs w:val="0"/>
          <w:caps w:val="0"/>
          <w:color w:val="000000"/>
          <w:spacing w:val="0"/>
          <w:sz w:val="13"/>
          <w:szCs w:val="8"/>
          <w:shd w:val="clear" w:fill="FFFFFF"/>
        </w:rPr>
        <w:t>/人民币汇率中间价.</w:t>
      </w:r>
      <w:r>
        <w:rPr>
          <w:rFonts w:hint="default" w:ascii="Times New Roman" w:hAnsi="Times New Roman" w:eastAsia="华文仿宋" w:cs="Consolas"/>
          <w:i/>
          <w:iCs w:val="0"/>
          <w:caps w:val="0"/>
          <w:color w:val="000000"/>
          <w:spacing w:val="0"/>
          <w:sz w:val="13"/>
          <w:szCs w:val="8"/>
          <w:shd w:val="clear" w:fill="FFFFFF"/>
        </w:rPr>
        <w:t>png</w:t>
      </w:r>
      <w:r>
        <w:rPr>
          <w:rFonts w:hint="default" w:ascii="Code" w:hAnsi="Code" w:eastAsia="华文仿宋" w:cs="Consolas"/>
          <w:i w:val="0"/>
          <w:iCs w:val="0"/>
          <w:caps w:val="0"/>
          <w:color w:val="000000"/>
          <w:spacing w:val="0"/>
          <w:sz w:val="13"/>
          <w:szCs w:val="8"/>
          <w:shd w:val="clear" w:fill="FFFFFF"/>
        </w:rPr>
        <w:t>', </w:t>
      </w:r>
      <w:r>
        <w:rPr>
          <w:rFonts w:hint="default" w:ascii="Times New Roman" w:hAnsi="Times New Roman" w:eastAsia="华文仿宋" w:cs="Consolas"/>
          <w:i/>
          <w:iCs w:val="0"/>
          <w:caps w:val="0"/>
          <w:color w:val="000000"/>
          <w:spacing w:val="0"/>
          <w:sz w:val="13"/>
          <w:szCs w:val="8"/>
          <w:shd w:val="clear" w:fill="FFFFFF"/>
        </w:rPr>
        <w:t>dpi</w:t>
      </w:r>
      <w:r>
        <w:rPr>
          <w:rFonts w:hint="default" w:ascii="Code" w:hAnsi="Code" w:eastAsia="华文仿宋" w:cs="Consolas"/>
          <w:i w:val="0"/>
          <w:iCs w:val="0"/>
          <w:caps w:val="0"/>
          <w:color w:val="000000"/>
          <w:spacing w:val="0"/>
          <w:sz w:val="13"/>
          <w:szCs w:val="8"/>
          <w:shd w:val="clear" w:fill="FFFFFF"/>
        </w:rPr>
        <w:t>=</w:t>
      </w:r>
      <w:r>
        <w:rPr>
          <w:rFonts w:hint="default" w:ascii="Times New Roman" w:hAnsi="Times New Roman" w:eastAsia="华文仿宋" w:cs="Consolas"/>
          <w:b w:val="0"/>
          <w:i w:val="0"/>
          <w:iCs w:val="0"/>
          <w:caps w:val="0"/>
          <w:color w:val="000000"/>
          <w:spacing w:val="0"/>
          <w:sz w:val="13"/>
          <w:szCs w:val="8"/>
          <w:shd w:val="clear" w:fill="FFFFFF"/>
        </w:rPr>
        <w:t>300</w:t>
      </w:r>
      <w:r>
        <w:rPr>
          <w:rFonts w:hint="default" w:ascii="Code" w:hAnsi="Code" w:eastAsia="华文仿宋" w:cs="Consolas"/>
          <w:i w:val="0"/>
          <w:iCs w:val="0"/>
          <w:caps w:val="0"/>
          <w:color w:val="000000"/>
          <w:spacing w:val="0"/>
          <w:sz w:val="13"/>
          <w:szCs w:val="8"/>
          <w:shd w:val="clear" w:fill="FFFFFF"/>
        </w:rPr>
        <w:t>)  </w:t>
      </w:r>
    </w:p>
    <w:p w14:paraId="118C6CBB">
      <w:pPr>
        <w:ind w:firstLine="420"/>
        <w:rPr>
          <w:rFonts w:asciiTheme="minorEastAsia" w:hAnsiTheme="minorEastAsia" w:eastAsiaTheme="minorEastAsia"/>
          <w:highlight w:val="none"/>
        </w:rPr>
      </w:pPr>
      <w:r>
        <w:rPr>
          <w:rFonts w:hint="eastAsia" w:asciiTheme="minorEastAsia" w:hAnsiTheme="minorEastAsia" w:eastAsiaTheme="minorEastAsia"/>
          <w:highlight w:val="none"/>
        </w:rPr>
        <w:t>最后，为进一步展示数据特点与多维度指标间的关系，程序绘制人民币汇率中间价随时间变化的趋势图。该函数从数据集中选取相关列后，以折线图的形式直观呈现不同货币对的中间价变化情况，并将结果图表输出到指定目录。</w:t>
      </w:r>
      <w:bookmarkStart w:id="5" w:name="_Toc515896058"/>
    </w:p>
    <w:bookmarkEnd w:id="5"/>
    <w:p w14:paraId="6FF920BF">
      <w:pPr>
        <w:pStyle w:val="4"/>
        <w:ind w:firstLine="480"/>
        <w:rPr>
          <w:rFonts w:asciiTheme="majorEastAsia" w:eastAsiaTheme="majorEastAsia"/>
          <w:color w:val="000000"/>
          <w:sz w:val="24"/>
          <w:highlight w:val="none"/>
        </w:rPr>
      </w:pPr>
      <w:bookmarkStart w:id="6" w:name="_Toc20535"/>
      <w:r>
        <w:rPr>
          <w:rFonts w:hint="eastAsia" w:asciiTheme="majorEastAsia" w:eastAsiaTheme="majorEastAsia"/>
          <w:color w:val="000000"/>
          <w:sz w:val="24"/>
          <w:highlight w:val="none"/>
        </w:rPr>
        <w:t>四、结果与分析</w:t>
      </w:r>
      <w:bookmarkEnd w:id="6"/>
    </w:p>
    <w:p w14:paraId="57538868">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lang w:val="en-US" w:eastAsia="zh-CN"/>
        </w:rPr>
        <w:t>选取了具有代表性的三类数据进行初步可视化，</w:t>
      </w:r>
      <w:r>
        <w:rPr>
          <w:rFonts w:hint="eastAsia" w:asciiTheme="minorEastAsia" w:hAnsiTheme="minorEastAsia" w:eastAsiaTheme="minorEastAsia"/>
          <w:highlight w:val="none"/>
        </w:rPr>
        <w:t>展示了从不同维度对</w:t>
      </w:r>
      <w:r>
        <w:rPr>
          <w:rFonts w:hint="eastAsia" w:asciiTheme="minorEastAsia" w:hAnsiTheme="minorEastAsia" w:eastAsiaTheme="minorEastAsia"/>
          <w:highlight w:val="none"/>
          <w:lang w:val="en-US" w:eastAsia="zh-CN"/>
        </w:rPr>
        <w:t>上证</w:t>
      </w:r>
      <w:r>
        <w:rPr>
          <w:rFonts w:hint="eastAsia" w:asciiTheme="minorEastAsia" w:hAnsiTheme="minorEastAsia" w:eastAsiaTheme="minorEastAsia"/>
          <w:highlight w:val="none"/>
        </w:rPr>
        <w:t>指标所进行的初步探查，为后续数据分析与模型构建提供参考。</w:t>
      </w:r>
    </w:p>
    <w:p w14:paraId="527E6A8E">
      <w:pPr>
        <w:ind w:firstLine="420"/>
        <w:rPr>
          <w:rFonts w:hint="eastAsia" w:asciiTheme="minorEastAsia" w:hAnsiTheme="minorEastAsia" w:eastAsiaTheme="minorEastAsia"/>
          <w:highlight w:val="none"/>
          <w:lang w:eastAsia="zh-CN"/>
        </w:rPr>
      </w:pPr>
      <w:r>
        <w:rPr>
          <w:rFonts w:hint="eastAsia" w:asciiTheme="minorEastAsia" w:hAnsiTheme="minorEastAsia" w:eastAsiaTheme="minorEastAsia"/>
          <w:highlight w:val="none"/>
          <w:lang w:eastAsia="zh-CN"/>
        </w:rPr>
        <w:drawing>
          <wp:anchor distT="0" distB="0" distL="114300" distR="114300" simplePos="0" relativeHeight="251659264" behindDoc="0" locked="0" layoutInCell="1" allowOverlap="1">
            <wp:simplePos x="0" y="0"/>
            <wp:positionH relativeFrom="column">
              <wp:posOffset>476885</wp:posOffset>
            </wp:positionH>
            <wp:positionV relativeFrom="paragraph">
              <wp:posOffset>11430</wp:posOffset>
            </wp:positionV>
            <wp:extent cx="4319905" cy="2160270"/>
            <wp:effectExtent l="0" t="0" r="4445" b="1905"/>
            <wp:wrapTopAndBottom/>
            <wp:docPr id="1" name="图片 1" descr="美元对人民币汇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美元对人民币汇率"/>
                    <pic:cNvPicPr>
                      <a:picLocks noChangeAspect="1"/>
                    </pic:cNvPicPr>
                  </pic:nvPicPr>
                  <pic:blipFill>
                    <a:blip r:embed="rId12"/>
                    <a:stretch>
                      <a:fillRect/>
                    </a:stretch>
                  </pic:blipFill>
                  <pic:spPr>
                    <a:xfrm>
                      <a:off x="0" y="0"/>
                      <a:ext cx="4319905" cy="2160270"/>
                    </a:xfrm>
                    <a:prstGeom prst="rect">
                      <a:avLst/>
                    </a:prstGeom>
                  </pic:spPr>
                </pic:pic>
              </a:graphicData>
            </a:graphic>
          </wp:anchor>
        </w:drawing>
      </w:r>
      <w:r>
        <w:rPr>
          <w:rFonts w:hint="eastAsia" w:asciiTheme="minorEastAsia" w:hAnsiTheme="minorEastAsia" w:eastAsiaTheme="minorEastAsia"/>
          <w:highlight w:val="none"/>
        </w:rPr>
        <w:t>首先，关于美元对人民币的汇率对比图，可以观察到</w:t>
      </w:r>
      <w:r>
        <w:rPr>
          <w:rFonts w:hint="eastAsia" w:ascii="Times New Roman" w:hAnsi="Times New Roman" w:eastAsiaTheme="minorEastAsia"/>
          <w:i/>
          <w:highlight w:val="none"/>
        </w:rPr>
        <w:t>USDCNH</w:t>
      </w:r>
      <w:r>
        <w:rPr>
          <w:rFonts w:hint="eastAsia" w:asciiTheme="minorEastAsia" w:hAnsiTheme="minorEastAsia" w:eastAsiaTheme="minorEastAsia"/>
          <w:highlight w:val="none"/>
        </w:rPr>
        <w:t>（离岸人民币）与</w:t>
      </w:r>
      <w:r>
        <w:rPr>
          <w:rFonts w:hint="eastAsia" w:ascii="Times New Roman" w:hAnsi="Times New Roman" w:eastAsiaTheme="minorEastAsia"/>
          <w:i/>
          <w:highlight w:val="none"/>
        </w:rPr>
        <w:t>USDCNY</w:t>
      </w:r>
      <w:r>
        <w:rPr>
          <w:rFonts w:hint="eastAsia" w:asciiTheme="minorEastAsia" w:hAnsiTheme="minorEastAsia" w:eastAsiaTheme="minorEastAsia"/>
          <w:highlight w:val="none"/>
        </w:rPr>
        <w:t>（在岸人民币）在时间轴上的价格变动轨迹。两条曲线在整体趋势上具有一定的相似性，但仍存在价差和波动差异。这种差异通常源于离岸与在岸市场间的交易机制、市场预期及资金流动性差异。</w:t>
      </w:r>
    </w:p>
    <w:p w14:paraId="3620B2E1">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lang w:eastAsia="zh-CN"/>
        </w:rPr>
        <w:drawing>
          <wp:anchor distT="0" distB="0" distL="114300" distR="114300" simplePos="0" relativeHeight="251660288" behindDoc="0" locked="0" layoutInCell="1" allowOverlap="1">
            <wp:simplePos x="0" y="0"/>
            <wp:positionH relativeFrom="column">
              <wp:posOffset>927100</wp:posOffset>
            </wp:positionH>
            <wp:positionV relativeFrom="paragraph">
              <wp:posOffset>10795</wp:posOffset>
            </wp:positionV>
            <wp:extent cx="3420110" cy="2734945"/>
            <wp:effectExtent l="0" t="0" r="8890" b="8255"/>
            <wp:wrapTopAndBottom/>
            <wp:docPr id="4" name="图片 4" descr="人民币汇率中间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人民币汇率中间价"/>
                    <pic:cNvPicPr>
                      <a:picLocks noChangeAspect="1"/>
                    </pic:cNvPicPr>
                  </pic:nvPicPr>
                  <pic:blipFill>
                    <a:blip r:embed="rId13"/>
                    <a:stretch>
                      <a:fillRect/>
                    </a:stretch>
                  </pic:blipFill>
                  <pic:spPr>
                    <a:xfrm>
                      <a:off x="0" y="0"/>
                      <a:ext cx="3420110" cy="2734945"/>
                    </a:xfrm>
                    <a:prstGeom prst="rect">
                      <a:avLst/>
                    </a:prstGeom>
                  </pic:spPr>
                </pic:pic>
              </a:graphicData>
            </a:graphic>
          </wp:anchor>
        </w:drawing>
      </w:r>
      <w:r>
        <w:rPr>
          <w:rFonts w:hint="eastAsia" w:asciiTheme="minorEastAsia" w:hAnsiTheme="minorEastAsia" w:eastAsiaTheme="minorEastAsia"/>
          <w:highlight w:val="none"/>
          <w:lang w:val="en-US" w:eastAsia="zh-CN"/>
        </w:rPr>
        <w:t>在</w:t>
      </w:r>
      <w:r>
        <w:rPr>
          <w:rFonts w:hint="eastAsia" w:asciiTheme="minorEastAsia" w:hAnsiTheme="minorEastAsia" w:eastAsiaTheme="minorEastAsia"/>
          <w:highlight w:val="none"/>
        </w:rPr>
        <w:t>人民币汇率中间价的多元对比图</w:t>
      </w:r>
      <w:r>
        <w:rPr>
          <w:rFonts w:hint="eastAsia" w:asciiTheme="minorEastAsia" w:hAnsiTheme="minorEastAsia" w:eastAsiaTheme="minorEastAsia"/>
          <w:highlight w:val="none"/>
          <w:lang w:val="en-US" w:eastAsia="zh-CN"/>
        </w:rPr>
        <w:t>中</w:t>
      </w:r>
      <w:r>
        <w:rPr>
          <w:rFonts w:hint="eastAsia" w:asciiTheme="minorEastAsia" w:hAnsiTheme="minorEastAsia" w:eastAsiaTheme="minorEastAsia"/>
          <w:highlight w:val="none"/>
        </w:rPr>
        <w:t>，不同颜色的曲线对应美元、欧元、英镑、港元、日元、新加坡元、瑞士法郎等多种国际货币对人民币的中间价走向。通过这些多币种的汇率中间价对比，可以一览人民币在多个国际货币体系中的相对强弱与价值变动。</w:t>
      </w:r>
    </w:p>
    <w:p w14:paraId="1EE4A682">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lang w:eastAsia="zh-CN"/>
        </w:rPr>
        <w:drawing>
          <wp:anchor distT="0" distB="0" distL="114300" distR="114300" simplePos="0" relativeHeight="251661312" behindDoc="0" locked="0" layoutInCell="1" allowOverlap="1">
            <wp:simplePos x="0" y="0"/>
            <wp:positionH relativeFrom="column">
              <wp:posOffset>476885</wp:posOffset>
            </wp:positionH>
            <wp:positionV relativeFrom="paragraph">
              <wp:posOffset>7620</wp:posOffset>
            </wp:positionV>
            <wp:extent cx="4319905" cy="2160270"/>
            <wp:effectExtent l="0" t="0" r="4445" b="1905"/>
            <wp:wrapTopAndBottom/>
            <wp:docPr id="5" name="图片 5" descr="上证指数收盘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上证指数收盘价"/>
                    <pic:cNvPicPr>
                      <a:picLocks noChangeAspect="1"/>
                    </pic:cNvPicPr>
                  </pic:nvPicPr>
                  <pic:blipFill>
                    <a:blip r:embed="rId14"/>
                    <a:stretch>
                      <a:fillRect/>
                    </a:stretch>
                  </pic:blipFill>
                  <pic:spPr>
                    <a:xfrm>
                      <a:off x="0" y="0"/>
                      <a:ext cx="4319905" cy="2160270"/>
                    </a:xfrm>
                    <a:prstGeom prst="rect">
                      <a:avLst/>
                    </a:prstGeom>
                  </pic:spPr>
                </pic:pic>
              </a:graphicData>
            </a:graphic>
          </wp:anchor>
        </w:drawing>
      </w:r>
      <w:r>
        <w:rPr>
          <w:rFonts w:hint="eastAsia" w:asciiTheme="minorEastAsia" w:hAnsiTheme="minorEastAsia" w:eastAsiaTheme="minorEastAsia"/>
          <w:highlight w:val="none"/>
        </w:rPr>
        <w:t>上证指数的收盘价走势图刻画出在所选时间范围内中国</w:t>
      </w:r>
      <w:r>
        <w:rPr>
          <w:rFonts w:hint="eastAsia" w:ascii="Times New Roman" w:hAnsi="Times New Roman" w:eastAsiaTheme="minorEastAsia"/>
          <w:i/>
          <w:highlight w:val="none"/>
        </w:rPr>
        <w:t>A</w:t>
      </w:r>
      <w:r>
        <w:rPr>
          <w:rFonts w:hint="eastAsia" w:asciiTheme="minorEastAsia" w:hAnsiTheme="minorEastAsia" w:eastAsiaTheme="minorEastAsia"/>
          <w:highlight w:val="none"/>
        </w:rPr>
        <w:t>股市场整体表现的变化趋势。线图上价格的上下波动反映了市场情绪、经济数据和政策信息的交织影响。从曲线可见，指数在某些时段可能经历了明显的上行或下行调整，这些拐点往往与宏观经济政策、国际市场联动、企业盈利预期以及投资者情绪的转变相关。</w:t>
      </w:r>
    </w:p>
    <w:p w14:paraId="4CA080FB">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 xml:space="preserve">运用 </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 xml:space="preserve"> 回归，对上证指数与多个指标（科创</w:t>
      </w:r>
      <w:r>
        <w:rPr>
          <w:rFonts w:hint="eastAsia" w:ascii="Times New Roman" w:hAnsi="Times New Roman" w:eastAsiaTheme="minorEastAsia"/>
          <w:b w:val="0"/>
          <w:i w:val="0"/>
          <w:highlight w:val="none"/>
        </w:rPr>
        <w:t>50</w:t>
      </w:r>
      <w:r>
        <w:rPr>
          <w:rFonts w:hint="eastAsia" w:asciiTheme="minorEastAsia" w:hAnsiTheme="minorEastAsia" w:eastAsiaTheme="minorEastAsia"/>
          <w:highlight w:val="none"/>
        </w:rPr>
        <w:t>、美元指数、中证</w:t>
      </w:r>
      <w:r>
        <w:rPr>
          <w:rFonts w:hint="eastAsia" w:ascii="Times New Roman" w:hAnsi="Times New Roman" w:eastAsiaTheme="minorEastAsia"/>
          <w:i/>
          <w:highlight w:val="none"/>
        </w:rPr>
        <w:t>A</w:t>
      </w:r>
      <w:r>
        <w:rPr>
          <w:rFonts w:hint="eastAsia" w:ascii="Times New Roman" w:hAnsi="Times New Roman" w:eastAsiaTheme="minorEastAsia"/>
          <w:b w:val="0"/>
          <w:i w:val="0"/>
          <w:highlight w:val="none"/>
        </w:rPr>
        <w:t>100</w:t>
      </w:r>
      <w:r>
        <w:rPr>
          <w:rFonts w:hint="eastAsia" w:asciiTheme="minorEastAsia" w:hAnsiTheme="minorEastAsia" w:eastAsiaTheme="minorEastAsia"/>
          <w:highlight w:val="none"/>
        </w:rPr>
        <w:t xml:space="preserve">、恒生指数）之间的线性关系进行拟合的结果。通过在散点图中叠加一条由 </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 xml:space="preserve"> 回归估计的线性拟合直线，我们可以在一定程度上判断各自变量与上证指数间的相关关系强弱与方向性。以下分别对几张图表进行描述与解释：</w:t>
      </w:r>
    </w:p>
    <w:p w14:paraId="58385AD6">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lang w:eastAsia="zh-CN"/>
        </w:rPr>
        <w:drawing>
          <wp:anchor distT="0" distB="0" distL="114300" distR="114300" simplePos="0" relativeHeight="251662336" behindDoc="0" locked="0" layoutInCell="1" allowOverlap="1">
            <wp:simplePos x="0" y="0"/>
            <wp:positionH relativeFrom="column">
              <wp:posOffset>836930</wp:posOffset>
            </wp:positionH>
            <wp:positionV relativeFrom="paragraph">
              <wp:posOffset>7620</wp:posOffset>
            </wp:positionV>
            <wp:extent cx="3599815" cy="2700020"/>
            <wp:effectExtent l="0" t="0" r="635" b="5080"/>
            <wp:wrapTopAndBottom/>
            <wp:docPr id="6" name="图片 6" descr="lasso_上证指数_科创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asso_上证指数_科创50"/>
                    <pic:cNvPicPr>
                      <a:picLocks noChangeAspect="1"/>
                    </pic:cNvPicPr>
                  </pic:nvPicPr>
                  <pic:blipFill>
                    <a:blip r:embed="rId15"/>
                    <a:stretch>
                      <a:fillRect/>
                    </a:stretch>
                  </pic:blipFill>
                  <pic:spPr>
                    <a:xfrm>
                      <a:off x="0" y="0"/>
                      <a:ext cx="3599815" cy="2700020"/>
                    </a:xfrm>
                    <a:prstGeom prst="rect">
                      <a:avLst/>
                    </a:prstGeom>
                  </pic:spPr>
                </pic:pic>
              </a:graphicData>
            </a:graphic>
          </wp:anchor>
        </w:drawing>
      </w:r>
      <w:r>
        <w:rPr>
          <w:rFonts w:hint="eastAsia" w:asciiTheme="minorEastAsia" w:hAnsiTheme="minorEastAsia" w:eastAsiaTheme="minorEastAsia"/>
          <w:highlight w:val="none"/>
        </w:rPr>
        <w:t>图中红色拟合直线的斜率约为</w:t>
      </w:r>
      <w:r>
        <w:rPr>
          <w:rFonts w:hint="eastAsia" w:ascii="Times New Roman" w:hAnsi="Times New Roman" w:eastAsiaTheme="minorEastAsia"/>
          <w:b w:val="0"/>
          <w:i w:val="0"/>
          <w:highlight w:val="none"/>
        </w:rPr>
        <w:t>0</w:t>
      </w:r>
      <w:r>
        <w:rPr>
          <w:rFonts w:hint="eastAsia" w:asciiTheme="minorEastAsia" w:hAnsiTheme="minorEastAsia" w:eastAsiaTheme="minorEastAsia"/>
          <w:highlight w:val="none"/>
        </w:rPr>
        <w:t>.</w:t>
      </w:r>
      <w:r>
        <w:rPr>
          <w:rFonts w:hint="eastAsia" w:ascii="Times New Roman" w:hAnsi="Times New Roman" w:eastAsiaTheme="minorEastAsia"/>
          <w:b w:val="0"/>
          <w:i w:val="0"/>
          <w:highlight w:val="none"/>
        </w:rPr>
        <w:t>52</w:t>
      </w:r>
      <w:r>
        <w:rPr>
          <w:rFonts w:hint="eastAsia" w:asciiTheme="minorEastAsia" w:hAnsiTheme="minorEastAsia" w:eastAsiaTheme="minorEastAsia"/>
          <w:highlight w:val="none"/>
        </w:rPr>
        <w:t>，截距约为-</w:t>
      </w:r>
      <w:r>
        <w:rPr>
          <w:rFonts w:hint="eastAsia" w:ascii="Times New Roman" w:hAnsi="Times New Roman" w:eastAsiaTheme="minorEastAsia"/>
          <w:b w:val="0"/>
          <w:i w:val="0"/>
          <w:highlight w:val="none"/>
        </w:rPr>
        <w:t>792</w:t>
      </w:r>
      <w:r>
        <w:rPr>
          <w:rFonts w:hint="eastAsia" w:asciiTheme="minorEastAsia" w:hAnsiTheme="minorEastAsia" w:eastAsiaTheme="minorEastAsia"/>
          <w:highlight w:val="none"/>
        </w:rPr>
        <w:t>.</w:t>
      </w:r>
      <w:r>
        <w:rPr>
          <w:rFonts w:hint="eastAsia" w:ascii="Times New Roman" w:hAnsi="Times New Roman" w:eastAsiaTheme="minorEastAsia"/>
          <w:b w:val="0"/>
          <w:i w:val="0"/>
          <w:highlight w:val="none"/>
        </w:rPr>
        <w:t>83</w:t>
      </w:r>
      <w:r>
        <w:rPr>
          <w:rFonts w:hint="eastAsia" w:asciiTheme="minorEastAsia" w:hAnsiTheme="minorEastAsia" w:eastAsiaTheme="minorEastAsia"/>
          <w:highlight w:val="none"/>
        </w:rPr>
        <w:t>。换言之，两者之间存在正相关关系。考虑到科创</w:t>
      </w:r>
      <w:r>
        <w:rPr>
          <w:rFonts w:hint="eastAsia" w:ascii="Times New Roman" w:hAnsi="Times New Roman" w:eastAsiaTheme="minorEastAsia"/>
          <w:b w:val="0"/>
          <w:i w:val="0"/>
          <w:highlight w:val="none"/>
        </w:rPr>
        <w:t>50</w:t>
      </w:r>
      <w:r>
        <w:rPr>
          <w:rFonts w:hint="eastAsia" w:asciiTheme="minorEastAsia" w:hAnsiTheme="minorEastAsia" w:eastAsiaTheme="minorEastAsia"/>
          <w:highlight w:val="none"/>
        </w:rPr>
        <w:t>指数是代表中国科技创新型企业板块的重要参考指标，与上证指数中许多传统行业成分股有所不同，其表现某种程度上反映了</w:t>
      </w:r>
      <w:r>
        <w:rPr>
          <w:rFonts w:hint="eastAsia" w:ascii="Times New Roman" w:hAnsi="Times New Roman" w:eastAsiaTheme="minorEastAsia"/>
          <w:i/>
          <w:highlight w:val="none"/>
        </w:rPr>
        <w:t>A</w:t>
      </w:r>
      <w:r>
        <w:rPr>
          <w:rFonts w:hint="eastAsia" w:asciiTheme="minorEastAsia" w:hAnsiTheme="minorEastAsia" w:eastAsiaTheme="minorEastAsia"/>
          <w:highlight w:val="none"/>
        </w:rPr>
        <w:t>股科技成长性与市场对创新企业前景的预期。市场风险偏好提升、流动性改善或宏观经济预期乐观时，既能带动传统板块的上涨，也倾向于同时推高科技创新领域的估值。</w:t>
      </w:r>
    </w:p>
    <w:p w14:paraId="050007F4">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在上证指数与美元指数的拟合中，斜率几乎接近</w:t>
      </w:r>
      <w:r>
        <w:rPr>
          <w:rFonts w:hint="eastAsia" w:ascii="Times New Roman" w:hAnsi="Times New Roman" w:eastAsiaTheme="minorEastAsia"/>
          <w:b w:val="0"/>
          <w:i w:val="0"/>
          <w:highlight w:val="none"/>
        </w:rPr>
        <w:t>0</w:t>
      </w:r>
      <w:r>
        <w:rPr>
          <w:rFonts w:hint="eastAsia" w:asciiTheme="minorEastAsia" w:hAnsiTheme="minorEastAsia" w:eastAsiaTheme="minorEastAsia"/>
          <w:highlight w:val="none"/>
        </w:rPr>
        <w:t>，截距约为</w:t>
      </w:r>
      <w:r>
        <w:rPr>
          <w:rFonts w:hint="eastAsia" w:ascii="Times New Roman" w:hAnsi="Times New Roman" w:eastAsiaTheme="minorEastAsia"/>
          <w:b w:val="0"/>
          <w:i w:val="0"/>
          <w:highlight w:val="none"/>
        </w:rPr>
        <w:t>90</w:t>
      </w:r>
      <w:r>
        <w:rPr>
          <w:rFonts w:hint="eastAsia" w:asciiTheme="minorEastAsia" w:hAnsiTheme="minorEastAsia" w:eastAsiaTheme="minorEastAsia"/>
          <w:highlight w:val="none"/>
        </w:rPr>
        <w:t>.</w:t>
      </w:r>
      <w:r>
        <w:rPr>
          <w:rFonts w:hint="eastAsia" w:ascii="Times New Roman" w:hAnsi="Times New Roman" w:eastAsiaTheme="minorEastAsia"/>
          <w:b w:val="0"/>
          <w:i w:val="0"/>
          <w:highlight w:val="none"/>
        </w:rPr>
        <w:t>81</w:t>
      </w:r>
      <w:r>
        <w:rPr>
          <w:rFonts w:hint="eastAsia" w:asciiTheme="minorEastAsia" w:hAnsiTheme="minorEastAsia" w:eastAsiaTheme="minorEastAsia"/>
          <w:highlight w:val="none"/>
        </w:rPr>
        <w:t>。这种结果表明，上证指数与美元指数之间在本数据环境下的线性相关度不高。理论上，美元指数反映国际美元相对于一篮子货币的强弱，一般而言，若美元趋强，国际资金倾向流出新兴市场或风险资产，从而对</w:t>
      </w:r>
      <w:r>
        <w:rPr>
          <w:rFonts w:hint="eastAsia" w:ascii="Times New Roman" w:hAnsi="Times New Roman" w:eastAsiaTheme="minorEastAsia"/>
          <w:i/>
          <w:highlight w:val="none"/>
        </w:rPr>
        <w:t>A</w:t>
      </w:r>
      <w:r>
        <w:rPr>
          <w:rFonts w:hint="eastAsia" w:asciiTheme="minorEastAsia" w:hAnsiTheme="minorEastAsia" w:eastAsiaTheme="minorEastAsia"/>
          <w:highlight w:val="none"/>
        </w:rPr>
        <w:t>股可能产生间接影响。但本图中接近水平的拟合线与高度分散的点云表明，在所选时间段和数据样本下，这种宏观逻辑并未明显体现出来，或被其他更强烈的市场因素所中和。这从科学解释的角度来看，可能意味着样本期间内</w:t>
      </w:r>
      <w:r>
        <w:rPr>
          <w:rFonts w:hint="eastAsia" w:ascii="Times New Roman" w:hAnsi="Times New Roman" w:eastAsiaTheme="minorEastAsia"/>
          <w:i/>
          <w:highlight w:val="none"/>
        </w:rPr>
        <w:t>A</w:t>
      </w:r>
      <w:r>
        <w:rPr>
          <w:rFonts w:hint="eastAsia" w:asciiTheme="minorEastAsia" w:hAnsiTheme="minorEastAsia" w:eastAsiaTheme="minorEastAsia"/>
          <w:highlight w:val="none"/>
        </w:rPr>
        <w:t>股走势更多受到本土政策、产业结构调整和投资者结构变化等因素驱动，而非仅由国际汇率或全球资金流向决定。</w:t>
      </w:r>
    </w:p>
    <w:tbl>
      <w:tblPr>
        <w:tblStyle w:val="15"/>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261"/>
        <w:gridCol w:w="4261"/>
      </w:tblGrid>
      <w:tr w14:paraId="687FF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jc w:val="center"/>
        </w:trPr>
        <w:tc>
          <w:tcPr>
            <w:tcW w:w="4261" w:type="dxa"/>
            <w:tcBorders>
              <w:top w:val="nil"/>
              <w:left w:val="nil"/>
              <w:bottom w:val="nil"/>
              <w:right w:val="nil"/>
              <w:tl2br w:val="nil"/>
            </w:tcBorders>
            <w:shd w:val="clear" w:color="auto" w:fill="FFFFFF"/>
            <w:vAlign w:val="center"/>
          </w:tcPr>
          <w:p w14:paraId="45E9421F">
            <w:pPr>
              <w:ind w:left="0" w:leftChars="0" w:firstLine="0" w:firstLineChars="0"/>
              <w:jc w:val="both"/>
              <w:rPr>
                <w:rFonts w:hint="eastAsia" w:asciiTheme="minorEastAsia" w:hAnsiTheme="minorEastAsia" w:eastAsiaTheme="minorEastAsia"/>
                <w:b w:val="0"/>
                <w:color w:val="000000"/>
                <w:highlight w:val="none"/>
                <w:vertAlign w:val="baseline"/>
                <w:lang w:eastAsia="zh-CN"/>
              </w:rPr>
            </w:pPr>
            <w:r>
              <w:rPr>
                <w:rFonts w:hint="eastAsia" w:asciiTheme="minorEastAsia" w:hAnsiTheme="minorEastAsia" w:eastAsiaTheme="minorEastAsia"/>
                <w:b w:val="0"/>
                <w:color w:val="000000"/>
                <w:highlight w:val="none"/>
                <w:vertAlign w:val="baseline"/>
                <w:lang w:eastAsia="zh-CN"/>
              </w:rPr>
              <w:drawing>
                <wp:inline distT="0" distB="0" distL="114300" distR="114300">
                  <wp:extent cx="2703830" cy="2027555"/>
                  <wp:effectExtent l="0" t="0" r="1270" b="1270"/>
                  <wp:docPr id="12" name="图片 12" descr="lasso_上证指数_美元指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sso_上证指数_美元指数"/>
                          <pic:cNvPicPr>
                            <a:picLocks noChangeAspect="1"/>
                          </pic:cNvPicPr>
                        </pic:nvPicPr>
                        <pic:blipFill>
                          <a:blip r:embed="rId16"/>
                          <a:stretch>
                            <a:fillRect/>
                          </a:stretch>
                        </pic:blipFill>
                        <pic:spPr>
                          <a:xfrm>
                            <a:off x="0" y="0"/>
                            <a:ext cx="2703830" cy="2027555"/>
                          </a:xfrm>
                          <a:prstGeom prst="rect">
                            <a:avLst/>
                          </a:prstGeom>
                        </pic:spPr>
                      </pic:pic>
                    </a:graphicData>
                  </a:graphic>
                </wp:inline>
              </w:drawing>
            </w:r>
          </w:p>
        </w:tc>
        <w:tc>
          <w:tcPr>
            <w:tcW w:w="4261" w:type="dxa"/>
            <w:tcBorders>
              <w:top w:val="nil"/>
              <w:left w:val="nil"/>
              <w:bottom w:val="nil"/>
              <w:right w:val="nil"/>
            </w:tcBorders>
            <w:shd w:val="clear" w:color="auto" w:fill="FFFFFF"/>
            <w:vAlign w:val="center"/>
          </w:tcPr>
          <w:p w14:paraId="3C229262">
            <w:pPr>
              <w:ind w:left="0" w:leftChars="0" w:firstLine="0" w:firstLineChars="0"/>
              <w:jc w:val="both"/>
              <w:rPr>
                <w:rFonts w:hint="eastAsia" w:asciiTheme="minorEastAsia" w:hAnsiTheme="minorEastAsia" w:eastAsiaTheme="minorEastAsia"/>
                <w:b w:val="0"/>
                <w:color w:val="000000"/>
                <w:highlight w:val="none"/>
                <w:vertAlign w:val="baseline"/>
                <w:lang w:eastAsia="zh-CN"/>
              </w:rPr>
            </w:pPr>
            <w:r>
              <w:rPr>
                <w:rFonts w:hint="eastAsia" w:asciiTheme="minorEastAsia" w:hAnsiTheme="minorEastAsia" w:eastAsiaTheme="minorEastAsia"/>
                <w:b w:val="0"/>
                <w:color w:val="000000"/>
                <w:highlight w:val="none"/>
                <w:vertAlign w:val="baseline"/>
                <w:lang w:eastAsia="zh-CN"/>
              </w:rPr>
              <w:drawing>
                <wp:inline distT="0" distB="0" distL="114300" distR="114300">
                  <wp:extent cx="2703830" cy="2027555"/>
                  <wp:effectExtent l="0" t="0" r="1270" b="1270"/>
                  <wp:docPr id="13" name="图片 13" descr="lasso_上证指数_中证A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sso_上证指数_中证A100"/>
                          <pic:cNvPicPr>
                            <a:picLocks noChangeAspect="1"/>
                          </pic:cNvPicPr>
                        </pic:nvPicPr>
                        <pic:blipFill>
                          <a:blip r:embed="rId17"/>
                          <a:stretch>
                            <a:fillRect/>
                          </a:stretch>
                        </pic:blipFill>
                        <pic:spPr>
                          <a:xfrm>
                            <a:off x="0" y="0"/>
                            <a:ext cx="2703830" cy="2027555"/>
                          </a:xfrm>
                          <a:prstGeom prst="rect">
                            <a:avLst/>
                          </a:prstGeom>
                        </pic:spPr>
                      </pic:pic>
                    </a:graphicData>
                  </a:graphic>
                </wp:inline>
              </w:drawing>
            </w:r>
          </w:p>
        </w:tc>
      </w:tr>
    </w:tbl>
    <w:p w14:paraId="4E8A361D">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此图中拟合直线的斜率约为</w:t>
      </w:r>
      <w:r>
        <w:rPr>
          <w:rFonts w:hint="eastAsia" w:ascii="Times New Roman" w:hAnsi="Times New Roman" w:eastAsiaTheme="minorEastAsia"/>
          <w:b w:val="0"/>
          <w:i w:val="0"/>
          <w:highlight w:val="none"/>
        </w:rPr>
        <w:t>1</w:t>
      </w:r>
      <w:r>
        <w:rPr>
          <w:rFonts w:hint="eastAsia" w:asciiTheme="minorEastAsia" w:hAnsiTheme="minorEastAsia" w:eastAsiaTheme="minorEastAsia"/>
          <w:highlight w:val="none"/>
        </w:rPr>
        <w:t>.</w:t>
      </w:r>
      <w:r>
        <w:rPr>
          <w:rFonts w:hint="eastAsia" w:ascii="Times New Roman" w:hAnsi="Times New Roman" w:eastAsiaTheme="minorEastAsia"/>
          <w:b w:val="0"/>
          <w:i w:val="0"/>
          <w:highlight w:val="none"/>
        </w:rPr>
        <w:t>21</w:t>
      </w:r>
      <w:r>
        <w:rPr>
          <w:rFonts w:hint="eastAsia" w:asciiTheme="minorEastAsia" w:hAnsiTheme="minorEastAsia" w:eastAsiaTheme="minorEastAsia"/>
          <w:highlight w:val="none"/>
        </w:rPr>
        <w:t>，截距约为-</w:t>
      </w:r>
      <w:r>
        <w:rPr>
          <w:rFonts w:hint="eastAsia" w:ascii="Times New Roman" w:hAnsi="Times New Roman" w:eastAsiaTheme="minorEastAsia"/>
          <w:b w:val="0"/>
          <w:i w:val="0"/>
          <w:highlight w:val="none"/>
        </w:rPr>
        <w:t>286</w:t>
      </w:r>
      <w:r>
        <w:rPr>
          <w:rFonts w:hint="eastAsia" w:asciiTheme="minorEastAsia" w:hAnsiTheme="minorEastAsia" w:eastAsiaTheme="minorEastAsia"/>
          <w:highlight w:val="none"/>
        </w:rPr>
        <w:t>.</w:t>
      </w:r>
      <w:r>
        <w:rPr>
          <w:rFonts w:hint="eastAsia" w:ascii="Times New Roman" w:hAnsi="Times New Roman" w:eastAsiaTheme="minorEastAsia"/>
          <w:b w:val="0"/>
          <w:i w:val="0"/>
          <w:highlight w:val="none"/>
        </w:rPr>
        <w:t>54</w:t>
      </w:r>
      <w:r>
        <w:rPr>
          <w:rFonts w:hint="eastAsia" w:asciiTheme="minorEastAsia" w:hAnsiTheme="minorEastAsia" w:eastAsiaTheme="minorEastAsia"/>
          <w:highlight w:val="none"/>
        </w:rPr>
        <w:t>。与科创</w:t>
      </w:r>
      <w:r>
        <w:rPr>
          <w:rFonts w:hint="eastAsia" w:ascii="Times New Roman" w:hAnsi="Times New Roman" w:eastAsiaTheme="minorEastAsia"/>
          <w:b w:val="0"/>
          <w:i w:val="0"/>
          <w:highlight w:val="none"/>
        </w:rPr>
        <w:t>50</w:t>
      </w:r>
      <w:r>
        <w:rPr>
          <w:rFonts w:hint="eastAsia" w:asciiTheme="minorEastAsia" w:hAnsiTheme="minorEastAsia" w:eastAsiaTheme="minorEastAsia"/>
          <w:highlight w:val="none"/>
        </w:rPr>
        <w:t>相比，中证</w:t>
      </w:r>
      <w:r>
        <w:rPr>
          <w:rFonts w:hint="eastAsia" w:ascii="Times New Roman" w:hAnsi="Times New Roman" w:eastAsiaTheme="minorEastAsia"/>
          <w:i/>
          <w:highlight w:val="none"/>
        </w:rPr>
        <w:t>A</w:t>
      </w:r>
      <w:r>
        <w:rPr>
          <w:rFonts w:hint="eastAsia" w:ascii="Times New Roman" w:hAnsi="Times New Roman" w:eastAsiaTheme="minorEastAsia"/>
          <w:b w:val="0"/>
          <w:i w:val="0"/>
          <w:highlight w:val="none"/>
        </w:rPr>
        <w:t>100</w:t>
      </w:r>
      <w:r>
        <w:rPr>
          <w:rFonts w:hint="eastAsia" w:asciiTheme="minorEastAsia" w:hAnsiTheme="minorEastAsia" w:eastAsiaTheme="minorEastAsia"/>
          <w:highlight w:val="none"/>
        </w:rPr>
        <w:t>是从大样本中精选出的代表性强、流动性好的蓝筹或核心资产指数，因此与上证指数的基础成分更为接近。这种强烈的正向相关关系说明两者走势高度同步。上证指数和中证</w:t>
      </w:r>
      <w:r>
        <w:rPr>
          <w:rFonts w:hint="eastAsia" w:ascii="Times New Roman" w:hAnsi="Times New Roman" w:eastAsiaTheme="minorEastAsia"/>
          <w:i/>
          <w:highlight w:val="none"/>
        </w:rPr>
        <w:t>A</w:t>
      </w:r>
      <w:r>
        <w:rPr>
          <w:rFonts w:hint="eastAsia" w:ascii="Times New Roman" w:hAnsi="Times New Roman" w:eastAsiaTheme="minorEastAsia"/>
          <w:b w:val="0"/>
          <w:i w:val="0"/>
          <w:highlight w:val="none"/>
        </w:rPr>
        <w:t>100</w:t>
      </w:r>
      <w:r>
        <w:rPr>
          <w:rFonts w:hint="eastAsia" w:asciiTheme="minorEastAsia" w:hAnsiTheme="minorEastAsia" w:eastAsiaTheme="minorEastAsia"/>
          <w:highlight w:val="none"/>
        </w:rPr>
        <w:t>都对整体市场流动性、政策导向、企业盈利预期保持敏感，当市场整体趋强时，高质量股票群体所组成的</w:t>
      </w:r>
      <w:r>
        <w:rPr>
          <w:rFonts w:hint="eastAsia" w:ascii="Times New Roman" w:hAnsi="Times New Roman" w:eastAsiaTheme="minorEastAsia"/>
          <w:i/>
          <w:highlight w:val="none"/>
        </w:rPr>
        <w:t>A</w:t>
      </w:r>
      <w:r>
        <w:rPr>
          <w:rFonts w:hint="eastAsia" w:ascii="Times New Roman" w:hAnsi="Times New Roman" w:eastAsiaTheme="minorEastAsia"/>
          <w:b w:val="0"/>
          <w:i w:val="0"/>
          <w:highlight w:val="none"/>
        </w:rPr>
        <w:t>100</w:t>
      </w:r>
      <w:r>
        <w:rPr>
          <w:rFonts w:hint="eastAsia" w:asciiTheme="minorEastAsia" w:hAnsiTheme="minorEastAsia" w:eastAsiaTheme="minorEastAsia"/>
          <w:highlight w:val="none"/>
        </w:rPr>
        <w:t>表现更为积极，且涨幅可能相对更高，体现出</w:t>
      </w:r>
      <w:r>
        <w:rPr>
          <w:rFonts w:hint="eastAsia" w:ascii="Times New Roman" w:hAnsi="Times New Roman" w:eastAsiaTheme="minorEastAsia"/>
          <w:i/>
          <w:highlight w:val="none"/>
        </w:rPr>
        <w:t>A</w:t>
      </w:r>
      <w:r>
        <w:rPr>
          <w:rFonts w:hint="eastAsia" w:asciiTheme="minorEastAsia" w:hAnsiTheme="minorEastAsia" w:eastAsiaTheme="minorEastAsia"/>
          <w:highlight w:val="none"/>
        </w:rPr>
        <w:t>股核心资产在多头行情中获得更强劲的支持。</w:t>
      </w:r>
    </w:p>
    <w:p w14:paraId="04F3B28C">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lang w:eastAsia="zh-CN"/>
        </w:rPr>
        <w:drawing>
          <wp:anchor distT="0" distB="0" distL="114300" distR="114300" simplePos="0" relativeHeight="251663360" behindDoc="0" locked="0" layoutInCell="1" allowOverlap="1">
            <wp:simplePos x="0" y="0"/>
            <wp:positionH relativeFrom="column">
              <wp:posOffset>836930</wp:posOffset>
            </wp:positionH>
            <wp:positionV relativeFrom="paragraph">
              <wp:posOffset>7620</wp:posOffset>
            </wp:positionV>
            <wp:extent cx="3599815" cy="2700020"/>
            <wp:effectExtent l="0" t="0" r="635" b="5080"/>
            <wp:wrapTopAndBottom/>
            <wp:docPr id="11" name="图片 11" descr="lasso_上证指数_恒生指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asso_上证指数_恒生指数"/>
                    <pic:cNvPicPr>
                      <a:picLocks noChangeAspect="1"/>
                    </pic:cNvPicPr>
                  </pic:nvPicPr>
                  <pic:blipFill>
                    <a:blip r:embed="rId18"/>
                    <a:stretch>
                      <a:fillRect/>
                    </a:stretch>
                  </pic:blipFill>
                  <pic:spPr>
                    <a:xfrm>
                      <a:off x="0" y="0"/>
                      <a:ext cx="3599815" cy="2700020"/>
                    </a:xfrm>
                    <a:prstGeom prst="rect">
                      <a:avLst/>
                    </a:prstGeom>
                  </pic:spPr>
                </pic:pic>
              </a:graphicData>
            </a:graphic>
          </wp:anchor>
        </w:drawing>
      </w:r>
      <w:r>
        <w:rPr>
          <w:rFonts w:hint="eastAsia" w:asciiTheme="minorEastAsia" w:hAnsiTheme="minorEastAsia" w:eastAsiaTheme="minorEastAsia"/>
          <w:highlight w:val="none"/>
        </w:rPr>
        <w:t>考虑到恒生指数以香港市场为基础，尽管与内地</w:t>
      </w:r>
      <w:r>
        <w:rPr>
          <w:rFonts w:hint="eastAsia" w:ascii="Times New Roman" w:hAnsi="Times New Roman" w:eastAsiaTheme="minorEastAsia"/>
          <w:i/>
          <w:highlight w:val="none"/>
        </w:rPr>
        <w:t>A</w:t>
      </w:r>
      <w:r>
        <w:rPr>
          <w:rFonts w:hint="eastAsia" w:asciiTheme="minorEastAsia" w:hAnsiTheme="minorEastAsia" w:eastAsiaTheme="minorEastAsia"/>
          <w:highlight w:val="none"/>
        </w:rPr>
        <w:t>股市场有所区隔，但由于地理及资金流动渠道的原因，中港资本市场之间存在一定联动。当上证指数趋于走强时，香港市场往往受到溢出效应与情绪传递的影响，同步出现上行趋势。这种高倍率的斜率可解释为恒生指数基期数值整体较高，因此同样幅度（点数）变化上，恒生指数的绝对涨幅看起来较大。不过无论如何，这一明显的正相关在经济层面上反映出内地与香港股市间日益紧密的资本与信息交流，对外资配置中国资产的渠道扩展与政策导向，以及两地投资者情绪关联度的提升。</w:t>
      </w:r>
    </w:p>
    <w:p w14:paraId="44E281BD">
      <w:pPr>
        <w:ind w:firstLine="420"/>
        <w:rPr>
          <w:rFonts w:hint="eastAsia" w:asciiTheme="minorEastAsia" w:hAnsiTheme="minorEastAsia" w:eastAsiaTheme="minorEastAsia"/>
          <w:highlight w:val="none"/>
        </w:rPr>
      </w:pPr>
      <w:r>
        <w:rPr>
          <w:rFonts w:hint="eastAsia" w:asciiTheme="minorEastAsia" w:hAnsiTheme="minorEastAsia" w:eastAsiaTheme="minorEastAsia"/>
          <w:highlight w:val="none"/>
        </w:rPr>
        <w:t xml:space="preserve">这些基于 </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 xml:space="preserve"> 回归所得的拟合直线并不能单纯表明因果关系，而仅是线性相关度的一种统计刻画。</w:t>
      </w:r>
      <w:r>
        <w:rPr>
          <w:rFonts w:hint="eastAsia" w:ascii="Times New Roman" w:hAnsi="Times New Roman" w:eastAsiaTheme="minorEastAsia"/>
          <w:i/>
          <w:highlight w:val="none"/>
        </w:rPr>
        <w:t>Lasso</w:t>
      </w:r>
      <w:r>
        <w:rPr>
          <w:rFonts w:hint="eastAsia" w:asciiTheme="minorEastAsia" w:hAnsiTheme="minorEastAsia" w:eastAsiaTheme="minorEastAsia"/>
          <w:highlight w:val="none"/>
        </w:rPr>
        <w:t xml:space="preserve"> 回归的使用在这里主要帮助我们进行特征选择与模型简化，以减少多重共线性和过拟合的问题。当系数较大且显著时，例如上证指数与中证</w:t>
      </w:r>
      <w:r>
        <w:rPr>
          <w:rFonts w:hint="eastAsia" w:ascii="Times New Roman" w:hAnsi="Times New Roman" w:eastAsiaTheme="minorEastAsia"/>
          <w:i/>
          <w:highlight w:val="none"/>
        </w:rPr>
        <w:t>A</w:t>
      </w:r>
      <w:r>
        <w:rPr>
          <w:rFonts w:hint="eastAsia" w:ascii="Times New Roman" w:hAnsi="Times New Roman" w:eastAsiaTheme="minorEastAsia"/>
          <w:b w:val="0"/>
          <w:i w:val="0"/>
          <w:highlight w:val="none"/>
        </w:rPr>
        <w:t>100</w:t>
      </w:r>
      <w:r>
        <w:rPr>
          <w:rFonts w:hint="eastAsia" w:asciiTheme="minorEastAsia" w:hAnsiTheme="minorEastAsia" w:eastAsiaTheme="minorEastAsia"/>
          <w:highlight w:val="none"/>
        </w:rPr>
        <w:t>的关系，我们更容易获得稳定的线性关联；而当系数接近</w:t>
      </w:r>
      <w:r>
        <w:rPr>
          <w:rFonts w:hint="eastAsia" w:ascii="Times New Roman" w:hAnsi="Times New Roman" w:eastAsiaTheme="minorEastAsia"/>
          <w:b w:val="0"/>
          <w:i w:val="0"/>
          <w:highlight w:val="none"/>
        </w:rPr>
        <w:t>0</w:t>
      </w:r>
      <w:r>
        <w:rPr>
          <w:rFonts w:hint="eastAsia" w:asciiTheme="minorEastAsia" w:hAnsiTheme="minorEastAsia" w:eastAsiaTheme="minorEastAsia"/>
          <w:highlight w:val="none"/>
        </w:rPr>
        <w:t>或点云分布无明显线性态势时（如与美元指数的关系），则说明该特征在模型中解释力有限或不稳定。从经济金融学角度而言，不同指数之间的正相关往往体现了共同的市场驱动力，如流动性环境、投资者风险偏好和宏观经济预期等；指数间相关度的差异化则显示出不同市场或板块对国际环境、政策调控与产业结构变化的敏感度不同。</w:t>
      </w:r>
    </w:p>
    <w:p w14:paraId="4C1A716D">
      <w:pPr>
        <w:keepNext w:val="0"/>
        <w:keepLines w:val="0"/>
        <w:pageBreakBefore w:val="0"/>
        <w:widowControl w:val="0"/>
        <w:kinsoku/>
        <w:wordWrap/>
        <w:overflowPunct/>
        <w:topLinePunct w:val="0"/>
        <w:autoSpaceDE/>
        <w:autoSpaceDN/>
        <w:bidi w:val="0"/>
        <w:adjustRightInd/>
        <w:snapToGrid w:val="0"/>
        <w:spacing w:after="157" w:afterLines="50"/>
        <w:ind w:firstLine="420"/>
        <w:textAlignment w:val="auto"/>
        <w:rPr>
          <w:rFonts w:hint="eastAsia" w:asciiTheme="minorEastAsia" w:hAnsiTheme="minorEastAsia" w:eastAsiaTheme="minorEastAsia"/>
          <w:highlight w:val="none"/>
        </w:rPr>
      </w:pPr>
      <w:r>
        <w:rPr>
          <w:rFonts w:hint="eastAsia" w:asciiTheme="minorEastAsia" w:hAnsiTheme="minorEastAsia" w:eastAsiaTheme="minorEastAsia"/>
          <w:highlight w:val="none"/>
          <w:lang w:val="en-US" w:eastAsia="zh-CN"/>
        </w:rPr>
        <w:t>随后在</w:t>
      </w:r>
      <w:r>
        <w:rPr>
          <w:rFonts w:hint="eastAsia" w:ascii="Times New Roman" w:hAnsi="Times New Roman" w:eastAsiaTheme="minorEastAsia"/>
          <w:i/>
          <w:highlight w:val="none"/>
          <w:lang w:val="en-US" w:eastAsia="zh-CN"/>
        </w:rPr>
        <w:t>LASSO</w:t>
      </w:r>
      <w:r>
        <w:rPr>
          <w:rFonts w:hint="eastAsia" w:asciiTheme="minorEastAsia" w:hAnsiTheme="minorEastAsia" w:eastAsiaTheme="minorEastAsia"/>
          <w:highlight w:val="none"/>
          <w:lang w:val="en-US" w:eastAsia="zh-CN"/>
        </w:rPr>
        <w:t>回归后进行了</w:t>
      </w:r>
      <w:r>
        <w:rPr>
          <w:rFonts w:hint="eastAsia" w:asciiTheme="minorEastAsia" w:hAnsiTheme="minorEastAsia" w:eastAsiaTheme="minorEastAsia"/>
          <w:b/>
          <w:bCs/>
          <w:highlight w:val="none"/>
          <w:lang w:val="en-US" w:eastAsia="zh-CN"/>
        </w:rPr>
        <w:t>多元线性回归分析</w:t>
      </w:r>
      <w:r>
        <w:rPr>
          <w:rFonts w:hint="eastAsia" w:asciiTheme="minorEastAsia" w:hAnsiTheme="minorEastAsia" w:eastAsiaTheme="minorEastAsia"/>
          <w:highlight w:val="none"/>
          <w:lang w:val="en-US" w:eastAsia="zh-CN"/>
        </w:rPr>
        <w:t>，</w:t>
      </w:r>
      <w:r>
        <w:rPr>
          <w:rFonts w:hint="eastAsia" w:asciiTheme="minorEastAsia" w:hAnsiTheme="minorEastAsia" w:eastAsiaTheme="minorEastAsia"/>
          <w:highlight w:val="none"/>
        </w:rPr>
        <w:t>回归模型的整体表现表明，所选取的多个因素共同对上证指数的走向具有相当高的解释能力，这些自变量的组合足以对上证指数的波动趋势给出相对紧密的拟合。在当前的研究框架下，上证指数的短期或中期变化，并非孤立地依赖某一单一因素，而是受到多重市场和宏观变量的合力影响。</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205"/>
        <w:gridCol w:w="1005"/>
        <w:gridCol w:w="1005"/>
        <w:gridCol w:w="915"/>
        <w:gridCol w:w="825"/>
        <w:gridCol w:w="975"/>
        <w:gridCol w:w="1005"/>
      </w:tblGrid>
      <w:tr w14:paraId="5DF07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0" w:type="auto"/>
            <w:tcBorders>
              <w:top w:val="single" w:color="000000" w:sz="12" w:space="0"/>
              <w:left w:val="nil"/>
              <w:bottom w:val="single" w:color="000000" w:sz="4" w:space="0"/>
              <w:right w:val="nil"/>
              <w:tl2br w:val="nil"/>
            </w:tcBorders>
            <w:shd w:val="clear" w:color="auto" w:fill="FFFFFF"/>
            <w:vAlign w:val="top"/>
          </w:tcPr>
          <w:p w14:paraId="16300DC8">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方正楷体_GB2312" w:hAnsi="方正楷体_GB2312" w:eastAsia="方正楷体_GB2312" w:cs="方正楷体_GB2312"/>
                <w:b w:val="0"/>
                <w:i w:val="0"/>
                <w:iCs w:val="0"/>
                <w:color w:val="000000"/>
                <w:kern w:val="0"/>
                <w:sz w:val="18"/>
                <w:szCs w:val="18"/>
                <w:u w:val="none"/>
                <w:lang w:val="en-US" w:eastAsia="zh-CN" w:bidi="ar"/>
              </w:rPr>
              <w:t>变量名</w:t>
            </w:r>
          </w:p>
        </w:tc>
        <w:tc>
          <w:tcPr>
            <w:tcW w:w="0" w:type="auto"/>
            <w:tcBorders>
              <w:top w:val="single" w:color="000000" w:sz="12" w:space="0"/>
              <w:left w:val="nil"/>
              <w:bottom w:val="single" w:color="000000" w:sz="4" w:space="0"/>
              <w:right w:val="nil"/>
            </w:tcBorders>
            <w:shd w:val="clear" w:color="auto" w:fill="FFFFFF"/>
            <w:vAlign w:val="top"/>
          </w:tcPr>
          <w:p w14:paraId="771E1762">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方正楷体_GB2312" w:hAnsi="方正楷体_GB2312" w:eastAsia="方正楷体_GB2312" w:cs="方正楷体_GB2312"/>
                <w:b w:val="0"/>
                <w:i w:val="0"/>
                <w:iCs w:val="0"/>
                <w:color w:val="000000"/>
                <w:kern w:val="0"/>
                <w:sz w:val="18"/>
                <w:szCs w:val="18"/>
                <w:u w:val="none"/>
                <w:lang w:val="en-US" w:eastAsia="zh-CN" w:bidi="ar"/>
              </w:rPr>
              <w:t>系数</w:t>
            </w:r>
          </w:p>
        </w:tc>
        <w:tc>
          <w:tcPr>
            <w:tcW w:w="0" w:type="auto"/>
            <w:tcBorders>
              <w:top w:val="single" w:color="000000" w:sz="12" w:space="0"/>
              <w:left w:val="nil"/>
              <w:bottom w:val="single" w:color="000000" w:sz="4" w:space="0"/>
              <w:right w:val="nil"/>
            </w:tcBorders>
            <w:shd w:val="clear" w:color="auto" w:fill="FFFFFF"/>
            <w:vAlign w:val="top"/>
          </w:tcPr>
          <w:p w14:paraId="6B78F51F">
            <w:pPr>
              <w:keepNext w:val="0"/>
              <w:keepLines w:val="0"/>
              <w:widowControl/>
              <w:suppressLineNumbers w:val="0"/>
              <w:ind w:firstLine="360" w:firstLineChars="200"/>
              <w:jc w:val="center"/>
              <w:textAlignment w:val="bottom"/>
              <w:rPr>
                <w:rFonts w:hint="default" w:ascii="方正楷体_GB2312" w:hAnsi="方正楷体_GB2312" w:eastAsia="方正楷体_GB2312" w:cs="方正楷体_GB2312"/>
                <w:b w:val="0"/>
                <w:color w:val="000000"/>
                <w:sz w:val="18"/>
                <w:szCs w:val="18"/>
                <w:highlight w:val="none"/>
                <w:vertAlign w:val="baseline"/>
                <w:lang w:val="en-US" w:eastAsia="zh-CN"/>
              </w:rPr>
            </w:pPr>
            <w:r>
              <w:rPr>
                <w:rFonts w:hint="eastAsia" w:ascii="方正楷体_GB2312" w:hAnsi="方正楷体_GB2312" w:eastAsia="方正楷体_GB2312" w:cs="方正楷体_GB2312"/>
                <w:b w:val="0"/>
                <w:color w:val="000000"/>
                <w:sz w:val="18"/>
                <w:szCs w:val="18"/>
                <w:highlight w:val="none"/>
                <w:vertAlign w:val="baseline"/>
                <w:lang w:val="en-US" w:eastAsia="zh-CN"/>
              </w:rPr>
              <w:t>标准差</w:t>
            </w:r>
          </w:p>
        </w:tc>
        <w:tc>
          <w:tcPr>
            <w:tcW w:w="0" w:type="auto"/>
            <w:tcBorders>
              <w:top w:val="single" w:color="000000" w:sz="12" w:space="0"/>
              <w:left w:val="nil"/>
              <w:bottom w:val="single" w:color="000000" w:sz="4" w:space="0"/>
              <w:right w:val="nil"/>
            </w:tcBorders>
            <w:shd w:val="clear" w:color="auto" w:fill="FFFFFF"/>
            <w:vAlign w:val="top"/>
          </w:tcPr>
          <w:p w14:paraId="0E2DEEE3">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Times New Roman" w:hAnsi="Times New Roman" w:eastAsia="方正楷体_GB2312" w:cs="方正楷体_GB2312"/>
                <w:b w:val="0"/>
                <w:i/>
                <w:iCs w:val="0"/>
                <w:color w:val="000000"/>
                <w:kern w:val="0"/>
                <w:sz w:val="18"/>
                <w:szCs w:val="18"/>
                <w:u w:val="none"/>
                <w:lang w:val="en-US" w:eastAsia="zh-CN" w:bidi="ar"/>
              </w:rPr>
              <w:t>t</w:t>
            </w:r>
            <w:r>
              <w:rPr>
                <w:rFonts w:hint="eastAsia" w:ascii="方正楷体_GB2312" w:hAnsi="方正楷体_GB2312" w:eastAsia="方正楷体_GB2312" w:cs="方正楷体_GB2312"/>
                <w:b w:val="0"/>
                <w:i w:val="0"/>
                <w:iCs w:val="0"/>
                <w:color w:val="000000"/>
                <w:kern w:val="0"/>
                <w:sz w:val="18"/>
                <w:szCs w:val="18"/>
                <w:u w:val="none"/>
                <w:lang w:val="en-US" w:eastAsia="zh-CN" w:bidi="ar"/>
              </w:rPr>
              <w:t>值</w:t>
            </w:r>
          </w:p>
        </w:tc>
        <w:tc>
          <w:tcPr>
            <w:tcW w:w="0" w:type="auto"/>
            <w:tcBorders>
              <w:top w:val="single" w:color="000000" w:sz="12" w:space="0"/>
              <w:left w:val="nil"/>
              <w:bottom w:val="single" w:color="000000" w:sz="4" w:space="0"/>
              <w:right w:val="nil"/>
            </w:tcBorders>
            <w:shd w:val="clear" w:color="auto" w:fill="FFFFFF"/>
            <w:vAlign w:val="top"/>
          </w:tcPr>
          <w:p w14:paraId="5D065BB3">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Times New Roman" w:hAnsi="Times New Roman" w:eastAsia="方正楷体_GB2312" w:cs="方正楷体_GB2312"/>
                <w:b w:val="0"/>
                <w:i/>
                <w:iCs w:val="0"/>
                <w:color w:val="000000"/>
                <w:kern w:val="0"/>
                <w:sz w:val="18"/>
                <w:szCs w:val="18"/>
                <w:u w:val="none"/>
                <w:lang w:val="en-US" w:eastAsia="zh-CN" w:bidi="ar"/>
              </w:rPr>
              <w:t>P</w:t>
            </w:r>
            <w:r>
              <w:rPr>
                <w:rFonts w:hint="eastAsia" w:ascii="方正楷体_GB2312" w:hAnsi="方正楷体_GB2312" w:eastAsia="方正楷体_GB2312" w:cs="方正楷体_GB2312"/>
                <w:b w:val="0"/>
                <w:i w:val="0"/>
                <w:iCs w:val="0"/>
                <w:color w:val="000000"/>
                <w:kern w:val="0"/>
                <w:sz w:val="18"/>
                <w:szCs w:val="18"/>
                <w:u w:val="none"/>
                <w:lang w:val="en-US" w:eastAsia="zh-CN" w:bidi="ar"/>
              </w:rPr>
              <w:t>值</w:t>
            </w:r>
          </w:p>
        </w:tc>
        <w:tc>
          <w:tcPr>
            <w:tcW w:w="0" w:type="auto"/>
            <w:tcBorders>
              <w:top w:val="single" w:color="000000" w:sz="12" w:space="0"/>
              <w:left w:val="nil"/>
              <w:bottom w:val="single" w:color="000000" w:sz="4" w:space="0"/>
              <w:right w:val="nil"/>
            </w:tcBorders>
            <w:shd w:val="clear" w:color="auto" w:fill="FFFFFF"/>
            <w:vAlign w:val="top"/>
          </w:tcPr>
          <w:p w14:paraId="61338614">
            <w:pPr>
              <w:keepNext w:val="0"/>
              <w:keepLines w:val="0"/>
              <w:widowControl/>
              <w:suppressLineNumbers w:val="0"/>
              <w:jc w:val="center"/>
              <w:textAlignment w:val="bottom"/>
              <w:rPr>
                <w:rFonts w:hint="eastAsia" w:asciiTheme="minorEastAsia" w:hAnsiTheme="minorEastAsia" w:eastAsiaTheme="minorEastAsia" w:cstheme="minorEastAsia"/>
                <w:b w:val="0"/>
                <w:color w:val="000000"/>
                <w:sz w:val="18"/>
                <w:szCs w:val="18"/>
                <w:highlight w:val="none"/>
                <w:vertAlign w:val="baseline"/>
                <w:lang w:val="en-US" w:eastAsia="zh-CN"/>
              </w:rPr>
            </w:pPr>
            <w:r>
              <w:rPr>
                <w:rFonts w:hint="eastAsia" w:asciiTheme="minorEastAsia" w:hAnsiTheme="minorEastAsia" w:eastAsiaTheme="minorEastAsia" w:cstheme="minorEastAsia"/>
                <w:b w:val="0"/>
                <w:color w:val="000000"/>
                <w:sz w:val="18"/>
                <w:szCs w:val="18"/>
                <w:highlight w:val="none"/>
                <w:vertAlign w:val="baseline"/>
                <w:lang w:val="en-US" w:eastAsia="zh-CN"/>
              </w:rPr>
              <w:t>[0.025]</w:t>
            </w:r>
          </w:p>
        </w:tc>
        <w:tc>
          <w:tcPr>
            <w:tcW w:w="0" w:type="auto"/>
            <w:tcBorders>
              <w:top w:val="single" w:color="000000" w:sz="12" w:space="0"/>
              <w:left w:val="nil"/>
              <w:bottom w:val="single" w:color="000000" w:sz="4" w:space="0"/>
              <w:right w:val="nil"/>
            </w:tcBorders>
            <w:shd w:val="clear" w:color="auto" w:fill="FFFFFF"/>
            <w:vAlign w:val="top"/>
          </w:tcPr>
          <w:p w14:paraId="6BB9985D">
            <w:pPr>
              <w:keepNext w:val="0"/>
              <w:keepLines w:val="0"/>
              <w:widowControl/>
              <w:suppressLineNumbers w:val="0"/>
              <w:ind w:firstLine="360" w:firstLineChars="200"/>
              <w:jc w:val="center"/>
              <w:textAlignment w:val="bottom"/>
              <w:rPr>
                <w:rFonts w:hint="eastAsia" w:asciiTheme="minorEastAsia" w:hAnsiTheme="minorEastAsia" w:eastAsiaTheme="minorEastAsia" w:cstheme="minorEastAsia"/>
                <w:b w:val="0"/>
                <w:color w:val="000000"/>
                <w:sz w:val="18"/>
                <w:szCs w:val="18"/>
                <w:highlight w:val="none"/>
                <w:vertAlign w:val="baseline"/>
                <w:lang w:val="en-US"/>
              </w:rPr>
            </w:pPr>
            <w:r>
              <w:rPr>
                <w:rFonts w:hint="eastAsia" w:asciiTheme="minorEastAsia" w:hAnsiTheme="minorEastAsia" w:eastAsiaTheme="minorEastAsia" w:cstheme="minorEastAsia"/>
                <w:b w:val="0"/>
                <w:i w:val="0"/>
                <w:iCs w:val="0"/>
                <w:color w:val="000000"/>
                <w:kern w:val="0"/>
                <w:sz w:val="18"/>
                <w:szCs w:val="18"/>
                <w:u w:val="none"/>
                <w:lang w:val="en-US" w:eastAsia="zh-CN" w:bidi="ar"/>
              </w:rPr>
              <w:t>[0.975]</w:t>
            </w:r>
          </w:p>
        </w:tc>
      </w:tr>
      <w:tr w14:paraId="6273B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single" w:color="000000" w:sz="4" w:space="0"/>
              <w:left w:val="nil"/>
              <w:bottom w:val="nil"/>
              <w:right w:val="nil"/>
            </w:tcBorders>
            <w:shd w:val="clear" w:color="auto" w:fill="FFFFFF"/>
            <w:vAlign w:val="center"/>
          </w:tcPr>
          <w:p w14:paraId="4E45A5C8">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Times New Roman" w:hAnsi="Times New Roman" w:eastAsia="方正楷体_GB2312" w:cs="方正楷体_GB2312"/>
                <w:b w:val="0"/>
                <w:i/>
                <w:iCs w:val="0"/>
                <w:color w:val="000000"/>
                <w:kern w:val="0"/>
                <w:sz w:val="18"/>
                <w:szCs w:val="18"/>
                <w:u w:val="none"/>
                <w:lang w:val="en-US" w:eastAsia="zh-CN" w:bidi="ar"/>
              </w:rPr>
              <w:t>const</w:t>
            </w:r>
          </w:p>
        </w:tc>
        <w:tc>
          <w:tcPr>
            <w:tcW w:w="0" w:type="auto"/>
            <w:tcBorders>
              <w:top w:val="single" w:color="000000" w:sz="4" w:space="0"/>
              <w:left w:val="nil"/>
              <w:bottom w:val="nil"/>
              <w:right w:val="nil"/>
            </w:tcBorders>
            <w:shd w:val="clear" w:color="auto" w:fill="FFFFFF"/>
            <w:vAlign w:val="center"/>
          </w:tcPr>
          <w:p w14:paraId="7854715A">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97.7243</w:t>
            </w:r>
          </w:p>
        </w:tc>
        <w:tc>
          <w:tcPr>
            <w:tcW w:w="0" w:type="auto"/>
            <w:tcBorders>
              <w:top w:val="single" w:color="000000" w:sz="4" w:space="0"/>
              <w:left w:val="nil"/>
              <w:bottom w:val="nil"/>
              <w:right w:val="nil"/>
            </w:tcBorders>
            <w:shd w:val="clear" w:color="auto" w:fill="FFFFFF"/>
            <w:vAlign w:val="center"/>
          </w:tcPr>
          <w:p w14:paraId="23A7DC83">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130.568</w:t>
            </w:r>
          </w:p>
        </w:tc>
        <w:tc>
          <w:tcPr>
            <w:tcW w:w="0" w:type="auto"/>
            <w:tcBorders>
              <w:top w:val="single" w:color="000000" w:sz="4" w:space="0"/>
              <w:left w:val="nil"/>
              <w:bottom w:val="nil"/>
              <w:right w:val="nil"/>
            </w:tcBorders>
            <w:shd w:val="clear" w:color="auto" w:fill="FFFFFF"/>
            <w:vAlign w:val="center"/>
          </w:tcPr>
          <w:p w14:paraId="4357DCE2">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0.748</w:t>
            </w:r>
          </w:p>
        </w:tc>
        <w:tc>
          <w:tcPr>
            <w:tcW w:w="0" w:type="auto"/>
            <w:tcBorders>
              <w:top w:val="single" w:color="000000" w:sz="4" w:space="0"/>
              <w:left w:val="nil"/>
              <w:bottom w:val="nil"/>
              <w:right w:val="nil"/>
            </w:tcBorders>
            <w:shd w:val="clear" w:color="auto" w:fill="FFFFFF"/>
            <w:vAlign w:val="center"/>
          </w:tcPr>
          <w:p w14:paraId="6F95D72B">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0.455</w:t>
            </w:r>
          </w:p>
        </w:tc>
        <w:tc>
          <w:tcPr>
            <w:tcW w:w="0" w:type="auto"/>
            <w:tcBorders>
              <w:top w:val="single" w:color="000000" w:sz="4" w:space="0"/>
              <w:left w:val="nil"/>
              <w:bottom w:val="nil"/>
              <w:right w:val="nil"/>
            </w:tcBorders>
            <w:shd w:val="clear" w:color="auto" w:fill="FFFFFF"/>
            <w:vAlign w:val="center"/>
          </w:tcPr>
          <w:p w14:paraId="5E5FDA00">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-159.64</w:t>
            </w:r>
          </w:p>
        </w:tc>
        <w:tc>
          <w:tcPr>
            <w:tcW w:w="0" w:type="auto"/>
            <w:tcBorders>
              <w:top w:val="single" w:color="000000" w:sz="4" w:space="0"/>
              <w:left w:val="nil"/>
              <w:bottom w:val="nil"/>
              <w:right w:val="nil"/>
            </w:tcBorders>
            <w:shd w:val="clear" w:color="auto" w:fill="FFFFFF"/>
            <w:vAlign w:val="center"/>
          </w:tcPr>
          <w:p w14:paraId="145C5A26">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355.088</w:t>
            </w:r>
          </w:p>
        </w:tc>
      </w:tr>
      <w:tr w14:paraId="1CF31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nil"/>
              <w:left w:val="nil"/>
              <w:bottom w:val="nil"/>
              <w:right w:val="nil"/>
            </w:tcBorders>
            <w:shd w:val="clear" w:color="auto" w:fill="FFFFFF"/>
            <w:vAlign w:val="center"/>
          </w:tcPr>
          <w:p w14:paraId="6F10451D">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方正楷体_GB2312" w:hAnsi="方正楷体_GB2312" w:eastAsia="方正楷体_GB2312" w:cs="方正楷体_GB2312"/>
                <w:b w:val="0"/>
                <w:i w:val="0"/>
                <w:iCs w:val="0"/>
                <w:color w:val="000000"/>
                <w:kern w:val="0"/>
                <w:sz w:val="18"/>
                <w:szCs w:val="18"/>
                <w:u w:val="none"/>
                <w:lang w:val="en-US" w:eastAsia="zh-CN" w:bidi="ar"/>
              </w:rPr>
              <w:t>恒生指数</w:t>
            </w:r>
          </w:p>
        </w:tc>
        <w:tc>
          <w:tcPr>
            <w:tcW w:w="0" w:type="auto"/>
            <w:tcBorders>
              <w:top w:val="nil"/>
              <w:left w:val="nil"/>
              <w:bottom w:val="nil"/>
              <w:right w:val="nil"/>
            </w:tcBorders>
            <w:shd w:val="clear" w:color="auto" w:fill="FFFFFF"/>
            <w:vAlign w:val="center"/>
          </w:tcPr>
          <w:p w14:paraId="1F4CBEF7">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-0.0021</w:t>
            </w:r>
          </w:p>
        </w:tc>
        <w:tc>
          <w:tcPr>
            <w:tcW w:w="0" w:type="auto"/>
            <w:tcBorders>
              <w:top w:val="nil"/>
              <w:left w:val="nil"/>
              <w:bottom w:val="nil"/>
              <w:right w:val="nil"/>
            </w:tcBorders>
            <w:shd w:val="clear" w:color="auto" w:fill="FFFFFF"/>
            <w:vAlign w:val="center"/>
          </w:tcPr>
          <w:p w14:paraId="7D0186AC">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0.002</w:t>
            </w:r>
          </w:p>
        </w:tc>
        <w:tc>
          <w:tcPr>
            <w:tcW w:w="0" w:type="auto"/>
            <w:tcBorders>
              <w:top w:val="nil"/>
              <w:left w:val="nil"/>
              <w:bottom w:val="nil"/>
              <w:right w:val="nil"/>
            </w:tcBorders>
            <w:shd w:val="clear" w:color="auto" w:fill="FFFFFF"/>
            <w:vAlign w:val="center"/>
          </w:tcPr>
          <w:p w14:paraId="3DFF5C1F">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-0.918</w:t>
            </w:r>
          </w:p>
        </w:tc>
        <w:tc>
          <w:tcPr>
            <w:tcW w:w="0" w:type="auto"/>
            <w:tcBorders>
              <w:top w:val="nil"/>
              <w:left w:val="nil"/>
              <w:bottom w:val="nil"/>
              <w:right w:val="nil"/>
            </w:tcBorders>
            <w:shd w:val="clear" w:color="auto" w:fill="FFFFFF"/>
            <w:vAlign w:val="center"/>
          </w:tcPr>
          <w:p w14:paraId="6621171E">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0.359</w:t>
            </w:r>
          </w:p>
        </w:tc>
        <w:tc>
          <w:tcPr>
            <w:tcW w:w="0" w:type="auto"/>
            <w:tcBorders>
              <w:top w:val="nil"/>
              <w:left w:val="nil"/>
              <w:bottom w:val="nil"/>
              <w:right w:val="nil"/>
            </w:tcBorders>
            <w:shd w:val="clear" w:color="auto" w:fill="FFFFFF"/>
            <w:vAlign w:val="center"/>
          </w:tcPr>
          <w:p w14:paraId="1FB84492">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-0.007</w:t>
            </w:r>
          </w:p>
        </w:tc>
        <w:tc>
          <w:tcPr>
            <w:tcW w:w="0" w:type="auto"/>
            <w:tcBorders>
              <w:top w:val="nil"/>
              <w:left w:val="nil"/>
              <w:bottom w:val="nil"/>
              <w:right w:val="nil"/>
            </w:tcBorders>
            <w:shd w:val="clear" w:color="auto" w:fill="FFFFFF"/>
            <w:vAlign w:val="center"/>
          </w:tcPr>
          <w:p w14:paraId="26F470D7">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0.002</w:t>
            </w:r>
          </w:p>
        </w:tc>
      </w:tr>
      <w:tr w14:paraId="37069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nil"/>
              <w:left w:val="nil"/>
              <w:bottom w:val="nil"/>
              <w:right w:val="nil"/>
            </w:tcBorders>
            <w:shd w:val="clear" w:color="auto" w:fill="FFFFFF"/>
            <w:vAlign w:val="center"/>
          </w:tcPr>
          <w:p w14:paraId="5B5B57F4">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方正楷体_GB2312" w:hAnsi="方正楷体_GB2312" w:eastAsia="方正楷体_GB2312" w:cs="方正楷体_GB2312"/>
                <w:b w:val="0"/>
                <w:i w:val="0"/>
                <w:iCs w:val="0"/>
                <w:color w:val="000000"/>
                <w:kern w:val="0"/>
                <w:sz w:val="18"/>
                <w:szCs w:val="18"/>
                <w:u w:val="none"/>
                <w:lang w:val="en-US" w:eastAsia="zh-CN" w:bidi="ar"/>
              </w:rPr>
              <w:t>沪深</w:t>
            </w:r>
            <w:r>
              <w:rPr>
                <w:rFonts w:hint="eastAsia" w:ascii="Times New Roman" w:hAnsi="Times New Roman" w:eastAsia="方正楷体_GB2312" w:cs="方正楷体_GB2312"/>
                <w:b w:val="0"/>
                <w:i w:val="0"/>
                <w:iCs w:val="0"/>
                <w:color w:val="000000"/>
                <w:kern w:val="0"/>
                <w:sz w:val="18"/>
                <w:szCs w:val="18"/>
                <w:u w:val="none"/>
                <w:lang w:val="en-US" w:eastAsia="zh-CN" w:bidi="ar"/>
              </w:rPr>
              <w:t>300</w:t>
            </w:r>
          </w:p>
        </w:tc>
        <w:tc>
          <w:tcPr>
            <w:tcW w:w="0" w:type="auto"/>
            <w:tcBorders>
              <w:top w:val="nil"/>
              <w:left w:val="nil"/>
              <w:bottom w:val="nil"/>
              <w:right w:val="nil"/>
            </w:tcBorders>
            <w:shd w:val="clear" w:color="auto" w:fill="FFFFFF"/>
            <w:vAlign w:val="center"/>
          </w:tcPr>
          <w:p w14:paraId="21B257BE">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1.6217</w:t>
            </w:r>
          </w:p>
        </w:tc>
        <w:tc>
          <w:tcPr>
            <w:tcW w:w="0" w:type="auto"/>
            <w:tcBorders>
              <w:top w:val="nil"/>
              <w:left w:val="nil"/>
              <w:bottom w:val="nil"/>
              <w:right w:val="nil"/>
            </w:tcBorders>
            <w:shd w:val="clear" w:color="auto" w:fill="FFFFFF"/>
            <w:vAlign w:val="center"/>
          </w:tcPr>
          <w:p w14:paraId="3B9E9132">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0.12</w:t>
            </w:r>
          </w:p>
        </w:tc>
        <w:tc>
          <w:tcPr>
            <w:tcW w:w="0" w:type="auto"/>
            <w:tcBorders>
              <w:top w:val="nil"/>
              <w:left w:val="nil"/>
              <w:bottom w:val="nil"/>
              <w:right w:val="nil"/>
            </w:tcBorders>
            <w:shd w:val="clear" w:color="auto" w:fill="FFFFFF"/>
            <w:vAlign w:val="center"/>
          </w:tcPr>
          <w:p w14:paraId="1B121F37">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13.472</w:t>
            </w:r>
          </w:p>
        </w:tc>
        <w:tc>
          <w:tcPr>
            <w:tcW w:w="0" w:type="auto"/>
            <w:tcBorders>
              <w:top w:val="nil"/>
              <w:left w:val="nil"/>
              <w:bottom w:val="nil"/>
              <w:right w:val="nil"/>
            </w:tcBorders>
            <w:shd w:val="clear" w:color="auto" w:fill="FFFFFF"/>
            <w:vAlign w:val="center"/>
          </w:tcPr>
          <w:p w14:paraId="7BB127E8">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w:t>
            </w:r>
          </w:p>
        </w:tc>
        <w:tc>
          <w:tcPr>
            <w:tcW w:w="0" w:type="auto"/>
            <w:tcBorders>
              <w:top w:val="nil"/>
              <w:left w:val="nil"/>
              <w:bottom w:val="nil"/>
              <w:right w:val="nil"/>
            </w:tcBorders>
            <w:shd w:val="clear" w:color="auto" w:fill="FFFFFF"/>
            <w:vAlign w:val="center"/>
          </w:tcPr>
          <w:p w14:paraId="7A963F8B">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1.384</w:t>
            </w:r>
          </w:p>
        </w:tc>
        <w:tc>
          <w:tcPr>
            <w:tcW w:w="0" w:type="auto"/>
            <w:tcBorders>
              <w:top w:val="nil"/>
              <w:left w:val="nil"/>
              <w:bottom w:val="nil"/>
              <w:right w:val="nil"/>
            </w:tcBorders>
            <w:shd w:val="clear" w:color="auto" w:fill="FFFFFF"/>
            <w:vAlign w:val="center"/>
          </w:tcPr>
          <w:p w14:paraId="122724B8">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1.859</w:t>
            </w:r>
          </w:p>
        </w:tc>
      </w:tr>
      <w:tr w14:paraId="6774E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nil"/>
              <w:left w:val="nil"/>
              <w:bottom w:val="nil"/>
              <w:right w:val="nil"/>
            </w:tcBorders>
            <w:shd w:val="clear" w:color="auto" w:fill="FFFFFF"/>
            <w:vAlign w:val="center"/>
          </w:tcPr>
          <w:p w14:paraId="7D2C88BC">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方正楷体_GB2312" w:hAnsi="方正楷体_GB2312" w:eastAsia="方正楷体_GB2312" w:cs="方正楷体_GB2312"/>
                <w:b w:val="0"/>
                <w:i w:val="0"/>
                <w:iCs w:val="0"/>
                <w:color w:val="000000"/>
                <w:kern w:val="0"/>
                <w:sz w:val="18"/>
                <w:szCs w:val="18"/>
                <w:u w:val="none"/>
                <w:lang w:val="en-US" w:eastAsia="zh-CN" w:bidi="ar"/>
              </w:rPr>
              <w:t>科创</w:t>
            </w:r>
            <w:r>
              <w:rPr>
                <w:rFonts w:hint="eastAsia" w:ascii="Times New Roman" w:hAnsi="Times New Roman" w:eastAsia="方正楷体_GB2312" w:cs="方正楷体_GB2312"/>
                <w:b w:val="0"/>
                <w:i w:val="0"/>
                <w:iCs w:val="0"/>
                <w:color w:val="000000"/>
                <w:kern w:val="0"/>
                <w:sz w:val="18"/>
                <w:szCs w:val="18"/>
                <w:u w:val="none"/>
                <w:lang w:val="en-US" w:eastAsia="zh-CN" w:bidi="ar"/>
              </w:rPr>
              <w:t>50</w:t>
            </w:r>
          </w:p>
        </w:tc>
        <w:tc>
          <w:tcPr>
            <w:tcW w:w="0" w:type="auto"/>
            <w:tcBorders>
              <w:top w:val="nil"/>
              <w:left w:val="nil"/>
              <w:bottom w:val="nil"/>
              <w:right w:val="nil"/>
            </w:tcBorders>
            <w:shd w:val="clear" w:color="auto" w:fill="FFFFFF"/>
            <w:vAlign w:val="center"/>
          </w:tcPr>
          <w:p w14:paraId="25B6911E">
            <w:pPr>
              <w:keepNext w:val="0"/>
              <w:keepLines w:val="0"/>
              <w:widowControl/>
              <w:suppressLineNumbers w:val="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-0.1204</w:t>
            </w:r>
          </w:p>
        </w:tc>
        <w:tc>
          <w:tcPr>
            <w:tcW w:w="0" w:type="auto"/>
            <w:tcBorders>
              <w:top w:val="nil"/>
              <w:left w:val="nil"/>
              <w:bottom w:val="nil"/>
              <w:right w:val="nil"/>
            </w:tcBorders>
            <w:shd w:val="clear" w:color="auto" w:fill="FFFFFF"/>
            <w:vAlign w:val="center"/>
          </w:tcPr>
          <w:p w14:paraId="3BCADEAA">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0.043</w:t>
            </w:r>
          </w:p>
        </w:tc>
        <w:tc>
          <w:tcPr>
            <w:tcW w:w="0" w:type="auto"/>
            <w:tcBorders>
              <w:top w:val="nil"/>
              <w:left w:val="nil"/>
              <w:bottom w:val="nil"/>
              <w:right w:val="nil"/>
            </w:tcBorders>
            <w:shd w:val="clear" w:color="auto" w:fill="FFFFFF"/>
            <w:vAlign w:val="center"/>
          </w:tcPr>
          <w:p w14:paraId="5BF5F84B">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-2.811</w:t>
            </w:r>
          </w:p>
        </w:tc>
        <w:tc>
          <w:tcPr>
            <w:tcW w:w="0" w:type="auto"/>
            <w:tcBorders>
              <w:top w:val="nil"/>
              <w:left w:val="nil"/>
              <w:bottom w:val="nil"/>
              <w:right w:val="nil"/>
            </w:tcBorders>
            <w:shd w:val="clear" w:color="auto" w:fill="FFFFFF"/>
            <w:vAlign w:val="center"/>
          </w:tcPr>
          <w:p w14:paraId="526D741D">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0.005</w:t>
            </w:r>
          </w:p>
        </w:tc>
        <w:tc>
          <w:tcPr>
            <w:tcW w:w="0" w:type="auto"/>
            <w:tcBorders>
              <w:top w:val="nil"/>
              <w:left w:val="nil"/>
              <w:bottom w:val="nil"/>
              <w:right w:val="nil"/>
            </w:tcBorders>
            <w:shd w:val="clear" w:color="auto" w:fill="FFFFFF"/>
            <w:vAlign w:val="center"/>
          </w:tcPr>
          <w:p w14:paraId="058B2420">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-0.205</w:t>
            </w:r>
          </w:p>
        </w:tc>
        <w:tc>
          <w:tcPr>
            <w:tcW w:w="0" w:type="auto"/>
            <w:tcBorders>
              <w:top w:val="nil"/>
              <w:left w:val="nil"/>
              <w:bottom w:val="nil"/>
              <w:right w:val="nil"/>
            </w:tcBorders>
            <w:shd w:val="clear" w:color="auto" w:fill="FFFFFF"/>
            <w:vAlign w:val="center"/>
          </w:tcPr>
          <w:p w14:paraId="15E7818F">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-0.036</w:t>
            </w:r>
          </w:p>
        </w:tc>
      </w:tr>
      <w:tr w14:paraId="51A22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nil"/>
              <w:left w:val="nil"/>
              <w:bottom w:val="nil"/>
              <w:right w:val="nil"/>
            </w:tcBorders>
            <w:shd w:val="clear" w:color="auto" w:fill="FFFFFF"/>
            <w:vAlign w:val="center"/>
          </w:tcPr>
          <w:p w14:paraId="1B9B1B11">
            <w:pPr>
              <w:keepNext w:val="0"/>
              <w:keepLines w:val="0"/>
              <w:widowControl/>
              <w:suppressLineNumbers w:val="0"/>
              <w:ind w:firstLine="360" w:firstLineChars="20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方正楷体_GB2312" w:hAnsi="方正楷体_GB2312" w:eastAsia="方正楷体_GB2312" w:cs="方正楷体_GB2312"/>
                <w:b w:val="0"/>
                <w:i w:val="0"/>
                <w:iCs w:val="0"/>
                <w:color w:val="000000"/>
                <w:kern w:val="0"/>
                <w:sz w:val="18"/>
                <w:szCs w:val="18"/>
                <w:u w:val="none"/>
                <w:lang w:val="en-US" w:eastAsia="zh-CN" w:bidi="ar"/>
              </w:rPr>
              <w:t>美元指数</w:t>
            </w:r>
          </w:p>
        </w:tc>
        <w:tc>
          <w:tcPr>
            <w:tcW w:w="0" w:type="auto"/>
            <w:tcBorders>
              <w:top w:val="nil"/>
              <w:left w:val="nil"/>
              <w:bottom w:val="nil"/>
              <w:right w:val="nil"/>
            </w:tcBorders>
            <w:shd w:val="clear" w:color="auto" w:fill="FFFFFF"/>
            <w:vAlign w:val="center"/>
          </w:tcPr>
          <w:p w14:paraId="7C4851F4">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3.3879</w:t>
            </w:r>
          </w:p>
        </w:tc>
        <w:tc>
          <w:tcPr>
            <w:tcW w:w="0" w:type="auto"/>
            <w:tcBorders>
              <w:top w:val="nil"/>
              <w:left w:val="nil"/>
              <w:bottom w:val="nil"/>
              <w:right w:val="nil"/>
            </w:tcBorders>
            <w:shd w:val="clear" w:color="auto" w:fill="FFFFFF"/>
            <w:vAlign w:val="center"/>
          </w:tcPr>
          <w:p w14:paraId="3AF13944">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1.45</w:t>
            </w:r>
          </w:p>
        </w:tc>
        <w:tc>
          <w:tcPr>
            <w:tcW w:w="0" w:type="auto"/>
            <w:tcBorders>
              <w:top w:val="nil"/>
              <w:left w:val="nil"/>
              <w:bottom w:val="nil"/>
              <w:right w:val="nil"/>
            </w:tcBorders>
            <w:shd w:val="clear" w:color="auto" w:fill="FFFFFF"/>
            <w:vAlign w:val="center"/>
          </w:tcPr>
          <w:p w14:paraId="5FE99CA3">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2.336</w:t>
            </w:r>
          </w:p>
        </w:tc>
        <w:tc>
          <w:tcPr>
            <w:tcW w:w="0" w:type="auto"/>
            <w:tcBorders>
              <w:top w:val="nil"/>
              <w:left w:val="nil"/>
              <w:bottom w:val="nil"/>
              <w:right w:val="nil"/>
            </w:tcBorders>
            <w:shd w:val="clear" w:color="auto" w:fill="FFFFFF"/>
            <w:vAlign w:val="center"/>
          </w:tcPr>
          <w:p w14:paraId="70C0381A">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0.02</w:t>
            </w:r>
          </w:p>
        </w:tc>
        <w:tc>
          <w:tcPr>
            <w:tcW w:w="0" w:type="auto"/>
            <w:tcBorders>
              <w:top w:val="nil"/>
              <w:left w:val="nil"/>
              <w:bottom w:val="nil"/>
              <w:right w:val="nil"/>
            </w:tcBorders>
            <w:shd w:val="clear" w:color="auto" w:fill="FFFFFF"/>
            <w:vAlign w:val="center"/>
          </w:tcPr>
          <w:p w14:paraId="5F4D1C69">
            <w:pPr>
              <w:keepNext w:val="0"/>
              <w:keepLines w:val="0"/>
              <w:widowControl/>
              <w:suppressLineNumbers w:val="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0.53</w:t>
            </w:r>
          </w:p>
        </w:tc>
        <w:tc>
          <w:tcPr>
            <w:tcW w:w="0" w:type="auto"/>
            <w:tcBorders>
              <w:top w:val="nil"/>
              <w:left w:val="nil"/>
              <w:bottom w:val="nil"/>
              <w:right w:val="nil"/>
            </w:tcBorders>
            <w:shd w:val="clear" w:color="auto" w:fill="FFFFFF"/>
            <w:vAlign w:val="center"/>
          </w:tcPr>
          <w:p w14:paraId="10BD4B8C">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6.246</w:t>
            </w:r>
          </w:p>
        </w:tc>
      </w:tr>
      <w:tr w14:paraId="6A887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nil"/>
              <w:left w:val="nil"/>
              <w:bottom w:val="single" w:color="000000" w:sz="12" w:space="0"/>
              <w:right w:val="nil"/>
            </w:tcBorders>
            <w:shd w:val="clear" w:color="auto" w:fill="FFFFFF"/>
            <w:vAlign w:val="center"/>
          </w:tcPr>
          <w:p w14:paraId="03452477">
            <w:pPr>
              <w:keepNext w:val="0"/>
              <w:keepLines w:val="0"/>
              <w:widowControl/>
              <w:suppressLineNumbers w:val="0"/>
              <w:jc w:val="center"/>
              <w:textAlignment w:val="bottom"/>
              <w:rPr>
                <w:rFonts w:hint="eastAsia" w:ascii="方正楷体_GB2312" w:hAnsi="方正楷体_GB2312" w:eastAsia="方正楷体_GB2312" w:cs="方正楷体_GB2312"/>
                <w:b w:val="0"/>
                <w:color w:val="000000"/>
                <w:sz w:val="18"/>
                <w:szCs w:val="18"/>
                <w:highlight w:val="none"/>
                <w:vertAlign w:val="baseline"/>
              </w:rPr>
            </w:pPr>
            <w:r>
              <w:rPr>
                <w:rFonts w:hint="eastAsia" w:ascii="方正楷体_GB2312" w:hAnsi="方正楷体_GB2312" w:eastAsia="方正楷体_GB2312" w:cs="方正楷体_GB2312"/>
                <w:b w:val="0"/>
                <w:i w:val="0"/>
                <w:iCs w:val="0"/>
                <w:color w:val="000000"/>
                <w:kern w:val="0"/>
                <w:sz w:val="18"/>
                <w:szCs w:val="18"/>
                <w:u w:val="none"/>
                <w:lang w:val="en-US" w:eastAsia="zh-CN" w:bidi="ar"/>
              </w:rPr>
              <w:t>中证</w:t>
            </w:r>
            <w:r>
              <w:rPr>
                <w:rFonts w:hint="eastAsia" w:ascii="Times New Roman" w:hAnsi="Times New Roman" w:eastAsia="方正楷体_GB2312" w:cs="方正楷体_GB2312"/>
                <w:b w:val="0"/>
                <w:i/>
                <w:iCs w:val="0"/>
                <w:color w:val="000000"/>
                <w:kern w:val="0"/>
                <w:sz w:val="18"/>
                <w:szCs w:val="18"/>
                <w:u w:val="none"/>
                <w:lang w:val="en-US" w:eastAsia="zh-CN" w:bidi="ar"/>
              </w:rPr>
              <w:t>A</w:t>
            </w:r>
            <w:r>
              <w:rPr>
                <w:rFonts w:hint="eastAsia" w:ascii="Times New Roman" w:hAnsi="Times New Roman" w:eastAsia="方正楷体_GB2312" w:cs="方正楷体_GB2312"/>
                <w:b w:val="0"/>
                <w:i w:val="0"/>
                <w:iCs w:val="0"/>
                <w:color w:val="000000"/>
                <w:kern w:val="0"/>
                <w:sz w:val="18"/>
                <w:szCs w:val="18"/>
                <w:u w:val="none"/>
                <w:lang w:val="en-US" w:eastAsia="zh-CN" w:bidi="ar"/>
              </w:rPr>
              <w:t>100</w:t>
            </w:r>
          </w:p>
        </w:tc>
        <w:tc>
          <w:tcPr>
            <w:tcW w:w="0" w:type="auto"/>
            <w:tcBorders>
              <w:top w:val="nil"/>
              <w:left w:val="nil"/>
              <w:bottom w:val="single" w:color="000000" w:sz="12" w:space="0"/>
              <w:right w:val="nil"/>
            </w:tcBorders>
            <w:shd w:val="clear" w:color="auto" w:fill="FFFFFF"/>
            <w:vAlign w:val="center"/>
          </w:tcPr>
          <w:p w14:paraId="4916DCF3">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-0.8986</w:t>
            </w:r>
          </w:p>
        </w:tc>
        <w:tc>
          <w:tcPr>
            <w:tcW w:w="0" w:type="auto"/>
            <w:tcBorders>
              <w:top w:val="nil"/>
              <w:left w:val="nil"/>
              <w:bottom w:val="single" w:color="000000" w:sz="12" w:space="0"/>
              <w:right w:val="nil"/>
            </w:tcBorders>
            <w:shd w:val="clear" w:color="auto" w:fill="FFFFFF"/>
            <w:vAlign w:val="center"/>
          </w:tcPr>
          <w:p w14:paraId="6A90BE1E">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0.119</w:t>
            </w:r>
          </w:p>
        </w:tc>
        <w:tc>
          <w:tcPr>
            <w:tcW w:w="0" w:type="auto"/>
            <w:tcBorders>
              <w:top w:val="nil"/>
              <w:left w:val="nil"/>
              <w:bottom w:val="single" w:color="000000" w:sz="12" w:space="0"/>
              <w:right w:val="nil"/>
            </w:tcBorders>
            <w:shd w:val="clear" w:color="auto" w:fill="FFFFFF"/>
            <w:vAlign w:val="center"/>
          </w:tcPr>
          <w:p w14:paraId="2789EA39">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-7.579</w:t>
            </w:r>
          </w:p>
        </w:tc>
        <w:tc>
          <w:tcPr>
            <w:tcW w:w="0" w:type="auto"/>
            <w:tcBorders>
              <w:top w:val="nil"/>
              <w:left w:val="nil"/>
              <w:bottom w:val="single" w:color="000000" w:sz="12" w:space="0"/>
              <w:right w:val="nil"/>
            </w:tcBorders>
            <w:shd w:val="clear" w:color="auto" w:fill="FFFFFF"/>
            <w:vAlign w:val="center"/>
          </w:tcPr>
          <w:p w14:paraId="1A5C5657">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w:t>
            </w:r>
          </w:p>
        </w:tc>
        <w:tc>
          <w:tcPr>
            <w:tcW w:w="0" w:type="auto"/>
            <w:tcBorders>
              <w:top w:val="nil"/>
              <w:left w:val="nil"/>
              <w:bottom w:val="single" w:color="000000" w:sz="12" w:space="0"/>
              <w:right w:val="nil"/>
            </w:tcBorders>
            <w:shd w:val="clear" w:color="auto" w:fill="FFFFFF"/>
            <w:vAlign w:val="center"/>
          </w:tcPr>
          <w:p w14:paraId="7C21083B">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-1.132</w:t>
            </w:r>
          </w:p>
        </w:tc>
        <w:tc>
          <w:tcPr>
            <w:tcW w:w="0" w:type="auto"/>
            <w:tcBorders>
              <w:top w:val="nil"/>
              <w:left w:val="nil"/>
              <w:bottom w:val="single" w:color="000000" w:sz="12" w:space="0"/>
              <w:right w:val="nil"/>
            </w:tcBorders>
            <w:shd w:val="clear" w:color="auto" w:fill="FFFFFF"/>
            <w:vAlign w:val="center"/>
          </w:tcPr>
          <w:p w14:paraId="163E0202">
            <w:pPr>
              <w:keepNext w:val="0"/>
              <w:keepLines w:val="0"/>
              <w:widowControl/>
              <w:suppressLineNumbers w:val="0"/>
              <w:ind w:firstLine="360" w:firstLineChars="200"/>
              <w:jc w:val="center"/>
              <w:textAlignment w:val="bottom"/>
              <w:rPr>
                <w:rFonts w:hint="default" w:ascii="Times New Roman" w:hAnsi="Times New Roman" w:eastAsia="方正楷体_GB2312" w:cs="Times New Roman"/>
                <w:b w:val="0"/>
                <w:color w:val="000000"/>
                <w:sz w:val="18"/>
                <w:szCs w:val="18"/>
                <w:highlight w:val="none"/>
                <w:vertAlign w:val="baseline"/>
              </w:rPr>
            </w:pPr>
            <w:r>
              <w:rPr>
                <w:rFonts w:hint="default" w:ascii="Times New Roman" w:hAnsi="Times New Roman" w:eastAsia="方正楷体_GB2312" w:cs="Times New Roman"/>
                <w:b w:val="0"/>
                <w:i w:val="0"/>
                <w:iCs w:val="0"/>
                <w:color w:val="000000"/>
                <w:kern w:val="0"/>
                <w:sz w:val="18"/>
                <w:szCs w:val="18"/>
                <w:u w:val="none"/>
                <w:lang w:val="en-US" w:eastAsia="zh-CN" w:bidi="ar"/>
              </w:rPr>
              <w:t>-0.665</w:t>
            </w:r>
          </w:p>
        </w:tc>
      </w:tr>
    </w:tbl>
    <w:p w14:paraId="7A412FE6">
      <w:pPr>
        <w:keepNext w:val="0"/>
        <w:keepLines w:val="0"/>
        <w:pageBreakBefore w:val="0"/>
        <w:widowControl w:val="0"/>
        <w:kinsoku/>
        <w:wordWrap/>
        <w:overflowPunct/>
        <w:topLinePunct w:val="0"/>
        <w:autoSpaceDE/>
        <w:autoSpaceDN/>
        <w:bidi w:val="0"/>
        <w:adjustRightInd/>
        <w:snapToGrid w:val="0"/>
        <w:spacing w:before="157" w:beforeLines="50"/>
        <w:ind w:firstLine="420"/>
        <w:textAlignment w:val="auto"/>
        <w:rPr>
          <w:rFonts w:hint="eastAsia" w:asciiTheme="minorEastAsia" w:hAnsiTheme="minorEastAsia" w:eastAsiaTheme="minorEastAsia"/>
          <w:highlight w:val="none"/>
        </w:rPr>
      </w:pPr>
      <w:r>
        <w:rPr>
          <w:rFonts w:hint="eastAsia" w:asciiTheme="minorEastAsia" w:hAnsiTheme="minorEastAsia" w:eastAsiaTheme="minorEastAsia"/>
          <w:highlight w:val="none"/>
        </w:rPr>
        <w:t>然而，当深入到具体的回归系数层面，并非所有自变量都在统计上对上证指数表现出明确的影响，其中有些变量即使理论上应与上证指数相关，却在本模型中</w:t>
      </w:r>
      <w:bookmarkStart w:id="8" w:name="_GoBack"/>
      <w:bookmarkEnd w:id="8"/>
      <w:r>
        <w:rPr>
          <w:rFonts w:hint="eastAsia" w:asciiTheme="minorEastAsia" w:hAnsiTheme="minorEastAsia" w:eastAsiaTheme="minorEastAsia"/>
          <w:highlight w:val="none"/>
        </w:rPr>
        <w:t>未能达到显著性标准。出现这种情况的原因可能是多方面的：一方面，所选时间段和数据结构可能使某些传统上重要的指标在样本期内并未突出其应有的影响力；另一方面，不同指数间在市场映射上可能存在重叠和替代效应，当多个对市场有相似解释力的指标同时进入模型时，模型难以清晰区分它们各自的边际贡献。部分指标呈现与直观预期不符的关系倾向。例如，当直观上某一指标应与上证指数同向变动时，实际结果却显示出相反方向的关系。潜在原因包括：多重共线性导致系数不稳定，各因素间存在高度相关性使得模型在系数估计上出现偏差；或是样本期内发生了一系列特殊事件与政策变化，影响了市场资金流向，使传统逻辑暂时失效。</w:t>
      </w:r>
    </w:p>
    <w:tbl>
      <w:tblPr>
        <w:tblStyle w:val="15"/>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261"/>
        <w:gridCol w:w="4261"/>
      </w:tblGrid>
      <w:tr w14:paraId="08C2B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jc w:val="center"/>
        </w:trPr>
        <w:tc>
          <w:tcPr>
            <w:tcW w:w="4261" w:type="dxa"/>
            <w:tcBorders>
              <w:top w:val="nil"/>
              <w:left w:val="nil"/>
              <w:bottom w:val="nil"/>
              <w:right w:val="nil"/>
              <w:tl2br w:val="nil"/>
            </w:tcBorders>
            <w:shd w:val="clear" w:color="auto" w:fill="FFFFFF"/>
            <w:vAlign w:val="center"/>
          </w:tcPr>
          <w:p w14:paraId="0216DEA0">
            <w:pPr>
              <w:ind w:left="0" w:leftChars="0" w:firstLine="0" w:firstLineChars="0"/>
              <w:jc w:val="center"/>
              <w:rPr>
                <w:rFonts w:hint="eastAsia" w:asciiTheme="minorEastAsia" w:hAnsiTheme="minorEastAsia" w:eastAsiaTheme="minorEastAsia"/>
                <w:b w:val="0"/>
                <w:color w:val="000000"/>
                <w:highlight w:val="none"/>
                <w:vertAlign w:val="baseline"/>
                <w:lang w:eastAsia="zh-CN"/>
              </w:rPr>
            </w:pPr>
            <w:r>
              <w:rPr>
                <w:rFonts w:hint="eastAsia" w:asciiTheme="minorEastAsia" w:hAnsiTheme="minorEastAsia" w:eastAsiaTheme="minorEastAsia"/>
                <w:b w:val="0"/>
                <w:color w:val="000000"/>
                <w:highlight w:val="none"/>
                <w:vertAlign w:val="baseline"/>
                <w:lang w:eastAsia="zh-CN"/>
              </w:rPr>
              <w:drawing>
                <wp:inline distT="0" distB="0" distL="114300" distR="114300">
                  <wp:extent cx="2697480" cy="1348740"/>
                  <wp:effectExtent l="0" t="0" r="7620" b="3810"/>
                  <wp:docPr id="16" name="图片 16" descr="mlr_多因素线性回归：股票类收盘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lr_多因素线性回归：股票类收盘价"/>
                          <pic:cNvPicPr>
                            <a:picLocks noChangeAspect="1"/>
                          </pic:cNvPicPr>
                        </pic:nvPicPr>
                        <pic:blipFill>
                          <a:blip r:embed="rId19"/>
                          <a:stretch>
                            <a:fillRect/>
                          </a:stretch>
                        </pic:blipFill>
                        <pic:spPr>
                          <a:xfrm>
                            <a:off x="0" y="0"/>
                            <a:ext cx="2697480" cy="1348740"/>
                          </a:xfrm>
                          <a:prstGeom prst="rect">
                            <a:avLst/>
                          </a:prstGeom>
                        </pic:spPr>
                      </pic:pic>
                    </a:graphicData>
                  </a:graphic>
                </wp:inline>
              </w:drawing>
            </w:r>
          </w:p>
        </w:tc>
        <w:tc>
          <w:tcPr>
            <w:tcW w:w="4261" w:type="dxa"/>
            <w:tcBorders>
              <w:top w:val="nil"/>
              <w:left w:val="nil"/>
              <w:bottom w:val="nil"/>
              <w:right w:val="nil"/>
            </w:tcBorders>
            <w:shd w:val="clear" w:color="auto" w:fill="FFFFFF"/>
            <w:vAlign w:val="center"/>
          </w:tcPr>
          <w:p w14:paraId="19C923AD">
            <w:pPr>
              <w:ind w:left="0" w:leftChars="0" w:firstLine="0" w:firstLineChars="0"/>
              <w:jc w:val="center"/>
              <w:rPr>
                <w:rFonts w:hint="eastAsia" w:asciiTheme="minorEastAsia" w:hAnsiTheme="minorEastAsia" w:eastAsiaTheme="minorEastAsia"/>
                <w:b w:val="0"/>
                <w:color w:val="000000"/>
                <w:highlight w:val="none"/>
                <w:vertAlign w:val="baseline"/>
                <w:lang w:eastAsia="zh-CN"/>
              </w:rPr>
            </w:pPr>
            <w:r>
              <w:rPr>
                <w:rFonts w:hint="eastAsia" w:asciiTheme="minorEastAsia" w:hAnsiTheme="minorEastAsia" w:eastAsiaTheme="minorEastAsia"/>
                <w:b w:val="0"/>
                <w:color w:val="000000"/>
                <w:highlight w:val="none"/>
                <w:vertAlign w:val="baseline"/>
                <w:lang w:eastAsia="zh-CN"/>
              </w:rPr>
              <w:drawing>
                <wp:inline distT="0" distB="0" distL="114300" distR="114300">
                  <wp:extent cx="2697480" cy="1348740"/>
                  <wp:effectExtent l="0" t="0" r="7620" b="3810"/>
                  <wp:docPr id="17" name="图片 17" descr="mlr_多因素线性回归：上证指数自回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lr_多因素线性回归：上证指数自回归"/>
                          <pic:cNvPicPr>
                            <a:picLocks noChangeAspect="1"/>
                          </pic:cNvPicPr>
                        </pic:nvPicPr>
                        <pic:blipFill>
                          <a:blip r:embed="rId20"/>
                          <a:stretch>
                            <a:fillRect/>
                          </a:stretch>
                        </pic:blipFill>
                        <pic:spPr>
                          <a:xfrm>
                            <a:off x="0" y="0"/>
                            <a:ext cx="2697480" cy="1348740"/>
                          </a:xfrm>
                          <a:prstGeom prst="rect">
                            <a:avLst/>
                          </a:prstGeom>
                        </pic:spPr>
                      </pic:pic>
                    </a:graphicData>
                  </a:graphic>
                </wp:inline>
              </w:drawing>
            </w:r>
          </w:p>
        </w:tc>
      </w:tr>
    </w:tbl>
    <w:p w14:paraId="48040097">
      <w:pPr>
        <w:ind w:firstLine="420"/>
        <w:rPr>
          <w:rFonts w:asciiTheme="minorEastAsia" w:hAnsiTheme="minorEastAsia" w:eastAsiaTheme="minorEastAsia"/>
          <w:highlight w:val="none"/>
        </w:rPr>
      </w:pPr>
      <w:r>
        <w:rPr>
          <w:rFonts w:hint="eastAsia" w:asciiTheme="minorEastAsia" w:hAnsiTheme="minorEastAsia" w:eastAsiaTheme="minorEastAsia"/>
          <w:highlight w:val="none"/>
        </w:rPr>
        <w:t>综合而言，多元线性回归在整体拟合上取得了优异表现，某些自变量与上证指数呈现出显著且合理的联系，特别是与国内市场密切相关的指标，对上证指数的正相关性和高显著性不仅反映了国内资本市场中核心资产群体与整体市场的联动趋势，也为后续深入研究资本配置、政策影响和投资者行为的机理提供了实证支撑。从实务角度看，这样的结论帮助研究者和投资机构在资产配置时更有据可循，能在市场环境变化时快速根据相关指数动态调整投资策略。</w:t>
      </w:r>
    </w:p>
    <w:p w14:paraId="59497B51">
      <w:pPr>
        <w:pStyle w:val="4"/>
        <w:ind w:firstLine="480"/>
        <w:rPr>
          <w:rFonts w:asciiTheme="majorEastAsia" w:eastAsiaTheme="majorEastAsia"/>
          <w:color w:val="000000"/>
          <w:sz w:val="24"/>
          <w:highlight w:val="none"/>
        </w:rPr>
      </w:pPr>
      <w:bookmarkStart w:id="7" w:name="_Toc18286"/>
      <w:r>
        <w:rPr>
          <w:rFonts w:hint="eastAsia" w:asciiTheme="majorEastAsia" w:eastAsiaTheme="majorEastAsia"/>
          <w:color w:val="000000"/>
          <w:sz w:val="24"/>
          <w:highlight w:val="none"/>
        </w:rPr>
        <w:t>五、难点与联想</w:t>
      </w:r>
      <w:bookmarkEnd w:id="7"/>
    </w:p>
    <w:p w14:paraId="6E7D1E89">
      <w:pPr>
        <w:ind w:left="0" w:leftChars="0" w:firstLine="420" w:firstLineChars="0"/>
        <w:rPr>
          <w:rFonts w:asciiTheme="minorEastAsia" w:hAnsiTheme="minorEastAsia" w:eastAsiaTheme="minorEastAsia"/>
          <w:highlight w:val="none"/>
        </w:rPr>
      </w:pPr>
      <w:r>
        <w:rPr>
          <w:rFonts w:asciiTheme="minorEastAsia" w:hAnsiTheme="minorEastAsia" w:eastAsiaTheme="minorEastAsia"/>
          <w:highlight w:val="none"/>
        </w:rPr>
        <w:t>在本次分析中，最大的难点之一是数据的前期处理和多重共线性问题。由于不同市场指标的获取途径和数据格式不统一，尤其是国际金融数据和国内指数的时间序列对齐工作，往往需要耗费大量精力进行数据清洗与整理。此外，多重共线性在多元回归模型中的存在使得部分自变量的边际影响难以准确量化。这种现象尤其在与国内市场密切相关的指数（如沪深</w:t>
      </w:r>
      <w:r>
        <w:rPr>
          <w:rFonts w:ascii="Times New Roman" w:hAnsi="Times New Roman" w:eastAsiaTheme="minorEastAsia"/>
          <w:b w:val="0"/>
          <w:i w:val="0"/>
          <w:highlight w:val="none"/>
        </w:rPr>
        <w:t>300</w:t>
      </w:r>
      <w:r>
        <w:rPr>
          <w:rFonts w:asciiTheme="minorEastAsia" w:hAnsiTheme="minorEastAsia" w:eastAsiaTheme="minorEastAsia"/>
          <w:highlight w:val="none"/>
        </w:rPr>
        <w:t>与中证</w:t>
      </w:r>
      <w:r>
        <w:rPr>
          <w:rFonts w:ascii="Times New Roman" w:hAnsi="Times New Roman" w:eastAsiaTheme="minorEastAsia"/>
          <w:i/>
          <w:highlight w:val="none"/>
        </w:rPr>
        <w:t>A</w:t>
      </w:r>
      <w:r>
        <w:rPr>
          <w:rFonts w:ascii="Times New Roman" w:hAnsi="Times New Roman" w:eastAsiaTheme="minorEastAsia"/>
          <w:b w:val="0"/>
          <w:i w:val="0"/>
          <w:highlight w:val="none"/>
        </w:rPr>
        <w:t>100</w:t>
      </w:r>
      <w:r>
        <w:rPr>
          <w:rFonts w:asciiTheme="minorEastAsia" w:hAnsiTheme="minorEastAsia" w:eastAsiaTheme="minorEastAsia"/>
          <w:highlight w:val="none"/>
        </w:rPr>
        <w:t>）中体现得尤为明显，它们之间高度相关的特性可能导致模型中回归系数的不稳定甚至偏误，从而影响最终结果的解读。因此，在建模中引入</w:t>
      </w:r>
      <w:r>
        <w:rPr>
          <w:rFonts w:ascii="Times New Roman" w:hAnsi="Times New Roman" w:eastAsiaTheme="minorEastAsia"/>
          <w:i/>
          <w:highlight w:val="none"/>
        </w:rPr>
        <w:t>Lasso</w:t>
      </w:r>
      <w:r>
        <w:rPr>
          <w:rFonts w:asciiTheme="minorEastAsia" w:hAnsiTheme="minorEastAsia" w:eastAsiaTheme="minorEastAsia"/>
          <w:highlight w:val="none"/>
        </w:rPr>
        <w:t>正则化手段，不仅简化了模型，同时也为后续分析提供了更可靠的特征选择方法。</w:t>
      </w:r>
    </w:p>
    <w:p w14:paraId="620A744C">
      <w:pPr>
        <w:ind w:left="0" w:leftChars="0" w:firstLine="420" w:firstLineChars="0"/>
        <w:rPr>
          <w:rFonts w:hint="eastAsia" w:asciiTheme="minorEastAsia" w:hAnsiTheme="minorEastAsia" w:eastAsiaTheme="minorEastAsia"/>
          <w:highlight w:val="none"/>
          <w:lang w:eastAsia="zh-CN"/>
        </w:rPr>
      </w:pPr>
      <w:r>
        <w:rPr>
          <w:rFonts w:asciiTheme="minorEastAsia" w:hAnsiTheme="minorEastAsia" w:eastAsiaTheme="minorEastAsia"/>
          <w:highlight w:val="none"/>
        </w:rPr>
        <w:t>本次结果启发我们，在实际的投资分析和市场研究中，单一维度的指标往往不足以全面反映市场走势，系统性整合多维数据可能是提升预测能力的有效途径。此外，研究还显示，市场的内外联动关系并非一成不变，具体影响机制会因时间周期、政策环境和国际市场动荡等外生变量而改变。未来若将时间序列分析与非线性回归模型（如机器学习算法）结合，可能更好地捕捉复杂市场动态</w:t>
      </w:r>
      <w:r>
        <w:rPr>
          <w:rFonts w:hint="eastAsia" w:asciiTheme="minorEastAsia" w:hAnsiTheme="minorEastAsia" w:eastAsiaTheme="minorEastAsia"/>
          <w:highlight w:val="none"/>
          <w:lang w:eastAsia="zh-CN"/>
        </w:rPr>
        <w:t>。</w:t>
      </w:r>
    </w:p>
    <w:p w14:paraId="25B75191">
      <w:pPr>
        <w:ind w:left="0" w:leftChars="0" w:firstLine="0" w:firstLineChars="0"/>
        <w:rPr>
          <w:rFonts w:asciiTheme="minorEastAsia" w:hAnsiTheme="minorEastAsia" w:eastAsiaTheme="minorEastAsia"/>
          <w:highlight w:val="none"/>
        </w:rPr>
      </w:pPr>
    </w:p>
    <w:p w14:paraId="02A53A93">
      <w:pPr>
        <w:rPr>
          <w:rFonts w:asciiTheme="minorEastAsia" w:hAnsiTheme="minorEastAsia" w:eastAsiaTheme="minorEastAsia"/>
          <w:highlight w:val="none"/>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华文新魏">
    <w:panose1 w:val="02010800040101010101"/>
    <w:charset w:val="86"/>
    <w:family w:val="auto"/>
    <w:pitch w:val="default"/>
    <w:sig w:usb0="00000001" w:usb1="080F0000" w:usb2="00000000" w:usb3="00000000" w:csb0="00040000" w:csb1="00000000"/>
    <w:embedRegular r:id="rId1" w:fontKey="{14FC7EB5-4824-4F14-853E-B5B0252D90B6}"/>
  </w:font>
  <w:font w:name="方正准圆简体">
    <w:altName w:val="宋体"/>
    <w:panose1 w:val="00000000000000000000"/>
    <w:charset w:val="86"/>
    <w:family w:val="script"/>
    <w:pitch w:val="default"/>
    <w:sig w:usb0="00000000" w:usb1="00000000" w:usb2="00000010" w:usb3="00000000" w:csb0="00040000" w:csb1="00000000"/>
  </w:font>
  <w:font w:name="方正楷体简体">
    <w:altName w:val="黑体"/>
    <w:panose1 w:val="00000000000000000000"/>
    <w:charset w:val="86"/>
    <w:family w:val="script"/>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embedRegular r:id="rId2" w:fontKey="{41FC2D5A-C9DD-47BA-B0AC-C949141BEA70}"/>
  </w:font>
  <w:font w:name="Cascadia Code">
    <w:panose1 w:val="020B0609020000020004"/>
    <w:charset w:val="00"/>
    <w:family w:val="auto"/>
    <w:pitch w:val="default"/>
    <w:sig w:usb0="A1002AFF" w:usb1="C200F9FB" w:usb2="00040020" w:usb3="00000000" w:csb0="600001FF" w:csb1="FFFF0000"/>
  </w:font>
  <w:font w:name="Code">
    <w:altName w:val="Cascadia Code"/>
    <w:panose1 w:val="00000000000000000000"/>
    <w:charset w:val="00"/>
    <w:family w:val="auto"/>
    <w:pitch w:val="default"/>
    <w:sig w:usb0="00000000" w:usb1="00000000" w:usb2="00000000" w:usb3="00000000" w:csb0="00000000" w:csb1="00000000"/>
    <w:embedRegular r:id="rId3" w:fontKey="{D5687C7E-CFD6-4959-AF98-A2EF67BF88EA}"/>
  </w:font>
  <w:font w:name="华文仿宋">
    <w:panose1 w:val="02010600040101010101"/>
    <w:charset w:val="86"/>
    <w:family w:val="auto"/>
    <w:pitch w:val="default"/>
    <w:sig w:usb0="00000287" w:usb1="080F0000" w:usb2="00000000" w:usb3="00000000" w:csb0="0004009F" w:csb1="DFD70000"/>
    <w:embedRegular r:id="rId4" w:fontKey="{14A4480D-AB52-43C2-918D-9E41F4C9E602}"/>
  </w:font>
  <w:font w:name="Consolas">
    <w:panose1 w:val="020B0609020204030204"/>
    <w:charset w:val="00"/>
    <w:family w:val="auto"/>
    <w:pitch w:val="default"/>
    <w:sig w:usb0="E00006FF" w:usb1="0000FCFF" w:usb2="00000001" w:usb3="00000000" w:csb0="6000019F" w:csb1="DFD70000"/>
    <w:embedRegular r:id="rId5" w:fontKey="{E08DBF89-9BE2-46DC-941F-DF0BD90D0782}"/>
  </w:font>
  <w:font w:name="方正楷体_GB2312">
    <w:panose1 w:val="02000000000000000000"/>
    <w:charset w:val="86"/>
    <w:family w:val="auto"/>
    <w:pitch w:val="default"/>
    <w:sig w:usb0="A00002BF" w:usb1="184F6CFA" w:usb2="00000012" w:usb3="00000000" w:csb0="00040001" w:csb1="00000000"/>
    <w:embedRegular r:id="rId6" w:fontKey="{B8AA652B-8672-401C-B9B8-2452F3894C7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4A6E7">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DF31C9">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1EA851">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560118">
    <w:pPr>
      <w:pStyle w:val="10"/>
      <w:ind w:firstLine="360"/>
    </w:pPr>
    <w:r>
      <w:rPr>
        <w:rFonts w:hint="eastAsia"/>
      </w:rPr>
      <w:t>多元统计分析 作业</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E1741B">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E345BA">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787830"/>
    <w:multiLevelType w:val="multilevel"/>
    <w:tmpl w:val="F2787830"/>
    <w:lvl w:ilvl="0" w:tentative="0">
      <w:start w:val="1"/>
      <w:numFmt w:val="decimal"/>
      <w:lvlText w:val="%1."/>
      <w:lvlJc w:val="left"/>
      <w:pPr>
        <w:tabs>
          <w:tab w:val="left" w:pos="720"/>
        </w:tabs>
        <w:ind w:left="720" w:hanging="360"/>
      </w:pPr>
      <w:rPr>
        <w:rFonts w:hint="default" w:ascii="Cascadia Code" w:hAnsi="Cascadia Code" w:cs="Cascadia Code"/>
        <w:b w:val="0"/>
        <w:bCs w:val="0"/>
        <w:color w:val="auto"/>
        <w:sz w:val="13"/>
        <w:szCs w:val="13"/>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177F0F2F"/>
    <w:multiLevelType w:val="multilevel"/>
    <w:tmpl w:val="177F0F2F"/>
    <w:lvl w:ilvl="0" w:tentative="0">
      <w:start w:val="1"/>
      <w:numFmt w:val="decimal"/>
      <w:lvlText w:val="%1."/>
      <w:lvlJc w:val="left"/>
      <w:pPr>
        <w:tabs>
          <w:tab w:val="left" w:pos="720"/>
        </w:tabs>
        <w:ind w:left="720" w:hanging="360"/>
      </w:pPr>
      <w:rPr>
        <w:rFonts w:hint="default" w:ascii="Cascadia Code" w:hAnsi="Cascadia Code" w:cs="Cascadia Code"/>
        <w:b w:val="0"/>
        <w:bCs w:val="0"/>
        <w:color w:val="auto"/>
        <w:sz w:val="13"/>
        <w:szCs w:val="13"/>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2B4A2837"/>
    <w:multiLevelType w:val="multilevel"/>
    <w:tmpl w:val="2B4A2837"/>
    <w:lvl w:ilvl="0" w:tentative="0">
      <w:start w:val="1"/>
      <w:numFmt w:val="decimal"/>
      <w:lvlText w:val="%1."/>
      <w:lvlJc w:val="left"/>
      <w:pPr>
        <w:tabs>
          <w:tab w:val="left" w:pos="720"/>
        </w:tabs>
        <w:ind w:left="720" w:hanging="360"/>
      </w:pPr>
      <w:rPr>
        <w:rFonts w:hint="default" w:ascii="Cascadia Code" w:hAnsi="Cascadia Code" w:cs="Cascadia Code"/>
        <w:b w:val="0"/>
        <w:bCs w:val="0"/>
        <w:color w:val="auto"/>
        <w:sz w:val="13"/>
        <w:szCs w:val="13"/>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44E64C1"/>
    <w:multiLevelType w:val="multilevel"/>
    <w:tmpl w:val="644E64C1"/>
    <w:lvl w:ilvl="0" w:tentative="0">
      <w:start w:val="1"/>
      <w:numFmt w:val="decimal"/>
      <w:lvlText w:val="%1."/>
      <w:lvlJc w:val="left"/>
      <w:pPr>
        <w:tabs>
          <w:tab w:val="left" w:pos="720"/>
        </w:tabs>
        <w:ind w:left="720" w:hanging="360"/>
      </w:pPr>
      <w:rPr>
        <w:rFonts w:hint="default" w:ascii="Cascadia Code" w:hAnsi="Cascadia Code" w:cs="Cascadia Code"/>
        <w:b w:val="0"/>
        <w:bCs w:val="0"/>
        <w:color w:val="auto"/>
        <w:sz w:val="13"/>
        <w:szCs w:val="13"/>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75"/>
    <w:rsid w:val="000052D9"/>
    <w:rsid w:val="000175EB"/>
    <w:rsid w:val="00020ED8"/>
    <w:rsid w:val="0003230F"/>
    <w:rsid w:val="00040F8E"/>
    <w:rsid w:val="00045429"/>
    <w:rsid w:val="00052408"/>
    <w:rsid w:val="00054257"/>
    <w:rsid w:val="00054741"/>
    <w:rsid w:val="000625E6"/>
    <w:rsid w:val="000650EB"/>
    <w:rsid w:val="0007267D"/>
    <w:rsid w:val="000951C2"/>
    <w:rsid w:val="00096332"/>
    <w:rsid w:val="000A1FF4"/>
    <w:rsid w:val="000A3955"/>
    <w:rsid w:val="000C13DF"/>
    <w:rsid w:val="000C3133"/>
    <w:rsid w:val="000D12DE"/>
    <w:rsid w:val="000D7F3B"/>
    <w:rsid w:val="000F173B"/>
    <w:rsid w:val="000F25EC"/>
    <w:rsid w:val="000F2DF1"/>
    <w:rsid w:val="00104DEC"/>
    <w:rsid w:val="00111FA8"/>
    <w:rsid w:val="001129EC"/>
    <w:rsid w:val="00112B28"/>
    <w:rsid w:val="00120341"/>
    <w:rsid w:val="001217E3"/>
    <w:rsid w:val="001258D7"/>
    <w:rsid w:val="0012789B"/>
    <w:rsid w:val="00132F7A"/>
    <w:rsid w:val="001358E7"/>
    <w:rsid w:val="0014043D"/>
    <w:rsid w:val="001404E3"/>
    <w:rsid w:val="00142F5C"/>
    <w:rsid w:val="001454B4"/>
    <w:rsid w:val="001455D7"/>
    <w:rsid w:val="00157C3F"/>
    <w:rsid w:val="00172519"/>
    <w:rsid w:val="00173541"/>
    <w:rsid w:val="00181BD3"/>
    <w:rsid w:val="001837FC"/>
    <w:rsid w:val="001A0AC9"/>
    <w:rsid w:val="001A4CD1"/>
    <w:rsid w:val="001A69F0"/>
    <w:rsid w:val="001B2857"/>
    <w:rsid w:val="001B5761"/>
    <w:rsid w:val="001B7882"/>
    <w:rsid w:val="001C4695"/>
    <w:rsid w:val="001E0A53"/>
    <w:rsid w:val="001F7204"/>
    <w:rsid w:val="002001E5"/>
    <w:rsid w:val="00205043"/>
    <w:rsid w:val="00206108"/>
    <w:rsid w:val="0020664E"/>
    <w:rsid w:val="00214ACF"/>
    <w:rsid w:val="00216BC5"/>
    <w:rsid w:val="002174D5"/>
    <w:rsid w:val="00224C1E"/>
    <w:rsid w:val="002331C5"/>
    <w:rsid w:val="00235D3E"/>
    <w:rsid w:val="002406B8"/>
    <w:rsid w:val="00242A66"/>
    <w:rsid w:val="00244E0A"/>
    <w:rsid w:val="002459F8"/>
    <w:rsid w:val="00252627"/>
    <w:rsid w:val="0025573A"/>
    <w:rsid w:val="0027441A"/>
    <w:rsid w:val="00276413"/>
    <w:rsid w:val="002765D5"/>
    <w:rsid w:val="0028112C"/>
    <w:rsid w:val="002874C1"/>
    <w:rsid w:val="0028767C"/>
    <w:rsid w:val="00292004"/>
    <w:rsid w:val="00292F57"/>
    <w:rsid w:val="00294D1F"/>
    <w:rsid w:val="002A10A8"/>
    <w:rsid w:val="002A4428"/>
    <w:rsid w:val="002A5B92"/>
    <w:rsid w:val="002C0785"/>
    <w:rsid w:val="002C219E"/>
    <w:rsid w:val="002C4C0F"/>
    <w:rsid w:val="002C5F0C"/>
    <w:rsid w:val="002D3E4A"/>
    <w:rsid w:val="002D6CD1"/>
    <w:rsid w:val="00310328"/>
    <w:rsid w:val="003110F8"/>
    <w:rsid w:val="00321A31"/>
    <w:rsid w:val="00321AE4"/>
    <w:rsid w:val="00323BBE"/>
    <w:rsid w:val="00326CA8"/>
    <w:rsid w:val="00333579"/>
    <w:rsid w:val="00335E02"/>
    <w:rsid w:val="00341D47"/>
    <w:rsid w:val="00344254"/>
    <w:rsid w:val="00347ABD"/>
    <w:rsid w:val="00350FD7"/>
    <w:rsid w:val="00352F4A"/>
    <w:rsid w:val="003548DE"/>
    <w:rsid w:val="00356CC2"/>
    <w:rsid w:val="00360854"/>
    <w:rsid w:val="00374F45"/>
    <w:rsid w:val="003817AE"/>
    <w:rsid w:val="0038196A"/>
    <w:rsid w:val="00387CB1"/>
    <w:rsid w:val="0039279E"/>
    <w:rsid w:val="003950D3"/>
    <w:rsid w:val="003B5082"/>
    <w:rsid w:val="003C17C7"/>
    <w:rsid w:val="003D3110"/>
    <w:rsid w:val="003D3AF6"/>
    <w:rsid w:val="003D5E57"/>
    <w:rsid w:val="003D7285"/>
    <w:rsid w:val="003E128C"/>
    <w:rsid w:val="003E3389"/>
    <w:rsid w:val="003E4C9C"/>
    <w:rsid w:val="003E7B46"/>
    <w:rsid w:val="003F0F66"/>
    <w:rsid w:val="003F2B89"/>
    <w:rsid w:val="003F3BAD"/>
    <w:rsid w:val="0040249C"/>
    <w:rsid w:val="0040601F"/>
    <w:rsid w:val="0042310C"/>
    <w:rsid w:val="00424AEE"/>
    <w:rsid w:val="00432A9B"/>
    <w:rsid w:val="004414B1"/>
    <w:rsid w:val="004573BC"/>
    <w:rsid w:val="00457B35"/>
    <w:rsid w:val="004744F8"/>
    <w:rsid w:val="00476F2A"/>
    <w:rsid w:val="00490BD0"/>
    <w:rsid w:val="00492AA9"/>
    <w:rsid w:val="004A0E2D"/>
    <w:rsid w:val="004A5039"/>
    <w:rsid w:val="004A60D2"/>
    <w:rsid w:val="004A73EF"/>
    <w:rsid w:val="004C10A9"/>
    <w:rsid w:val="004C2725"/>
    <w:rsid w:val="004C3C5F"/>
    <w:rsid w:val="004D205D"/>
    <w:rsid w:val="004D368C"/>
    <w:rsid w:val="004F0033"/>
    <w:rsid w:val="004F337F"/>
    <w:rsid w:val="004F61BB"/>
    <w:rsid w:val="004F6F28"/>
    <w:rsid w:val="00500AD5"/>
    <w:rsid w:val="00503E63"/>
    <w:rsid w:val="00513A12"/>
    <w:rsid w:val="00521F56"/>
    <w:rsid w:val="00527248"/>
    <w:rsid w:val="005333D0"/>
    <w:rsid w:val="00552A4B"/>
    <w:rsid w:val="00552A4F"/>
    <w:rsid w:val="00554EAB"/>
    <w:rsid w:val="005554AF"/>
    <w:rsid w:val="0056014A"/>
    <w:rsid w:val="0056282D"/>
    <w:rsid w:val="005636A4"/>
    <w:rsid w:val="005704FE"/>
    <w:rsid w:val="00572DAA"/>
    <w:rsid w:val="00573B9A"/>
    <w:rsid w:val="00581391"/>
    <w:rsid w:val="00591013"/>
    <w:rsid w:val="00591BA8"/>
    <w:rsid w:val="00593F21"/>
    <w:rsid w:val="00595134"/>
    <w:rsid w:val="005B153D"/>
    <w:rsid w:val="005B741D"/>
    <w:rsid w:val="005B7D95"/>
    <w:rsid w:val="005C3E1A"/>
    <w:rsid w:val="005D41D2"/>
    <w:rsid w:val="005E2272"/>
    <w:rsid w:val="005E5458"/>
    <w:rsid w:val="006038EE"/>
    <w:rsid w:val="006131E4"/>
    <w:rsid w:val="00616796"/>
    <w:rsid w:val="006200E5"/>
    <w:rsid w:val="0062241B"/>
    <w:rsid w:val="00622CE9"/>
    <w:rsid w:val="00627CCB"/>
    <w:rsid w:val="0063602B"/>
    <w:rsid w:val="00641381"/>
    <w:rsid w:val="00644904"/>
    <w:rsid w:val="00647EC1"/>
    <w:rsid w:val="00655DEC"/>
    <w:rsid w:val="00661F54"/>
    <w:rsid w:val="00664501"/>
    <w:rsid w:val="00665ECB"/>
    <w:rsid w:val="00666DB0"/>
    <w:rsid w:val="0067311F"/>
    <w:rsid w:val="00674A4E"/>
    <w:rsid w:val="00681E7C"/>
    <w:rsid w:val="006B13D7"/>
    <w:rsid w:val="006B23A9"/>
    <w:rsid w:val="006B2B80"/>
    <w:rsid w:val="006B357F"/>
    <w:rsid w:val="006C2A9B"/>
    <w:rsid w:val="006E03E5"/>
    <w:rsid w:val="006E52A7"/>
    <w:rsid w:val="006F14AD"/>
    <w:rsid w:val="006F3B30"/>
    <w:rsid w:val="006F3E24"/>
    <w:rsid w:val="006F6566"/>
    <w:rsid w:val="007032F2"/>
    <w:rsid w:val="0070688E"/>
    <w:rsid w:val="0070710C"/>
    <w:rsid w:val="007119C7"/>
    <w:rsid w:val="0071405C"/>
    <w:rsid w:val="007149A0"/>
    <w:rsid w:val="00721E71"/>
    <w:rsid w:val="00724581"/>
    <w:rsid w:val="00726A9E"/>
    <w:rsid w:val="007347B1"/>
    <w:rsid w:val="0074695E"/>
    <w:rsid w:val="007525F3"/>
    <w:rsid w:val="00752758"/>
    <w:rsid w:val="00755725"/>
    <w:rsid w:val="00756E44"/>
    <w:rsid w:val="007646D1"/>
    <w:rsid w:val="00766365"/>
    <w:rsid w:val="0076682E"/>
    <w:rsid w:val="00777D48"/>
    <w:rsid w:val="0078298E"/>
    <w:rsid w:val="00784C21"/>
    <w:rsid w:val="00787697"/>
    <w:rsid w:val="00792363"/>
    <w:rsid w:val="00793EAB"/>
    <w:rsid w:val="007B3814"/>
    <w:rsid w:val="007B4FB6"/>
    <w:rsid w:val="007B72A2"/>
    <w:rsid w:val="007C360D"/>
    <w:rsid w:val="007C38FB"/>
    <w:rsid w:val="007C5B6A"/>
    <w:rsid w:val="007D0F68"/>
    <w:rsid w:val="007E0C1F"/>
    <w:rsid w:val="007F5389"/>
    <w:rsid w:val="007F72F3"/>
    <w:rsid w:val="007F7E32"/>
    <w:rsid w:val="00810B9F"/>
    <w:rsid w:val="00825071"/>
    <w:rsid w:val="008254A6"/>
    <w:rsid w:val="008255BB"/>
    <w:rsid w:val="00837209"/>
    <w:rsid w:val="00851E78"/>
    <w:rsid w:val="008521F1"/>
    <w:rsid w:val="008575D3"/>
    <w:rsid w:val="008614E8"/>
    <w:rsid w:val="00861B3C"/>
    <w:rsid w:val="00873331"/>
    <w:rsid w:val="00873A02"/>
    <w:rsid w:val="00874B1A"/>
    <w:rsid w:val="00875C63"/>
    <w:rsid w:val="00877E27"/>
    <w:rsid w:val="00893BFD"/>
    <w:rsid w:val="00894CF7"/>
    <w:rsid w:val="00895EEF"/>
    <w:rsid w:val="008965AA"/>
    <w:rsid w:val="0089784E"/>
    <w:rsid w:val="008A0088"/>
    <w:rsid w:val="008B1BE9"/>
    <w:rsid w:val="008B215F"/>
    <w:rsid w:val="008B447C"/>
    <w:rsid w:val="008C2466"/>
    <w:rsid w:val="008C696E"/>
    <w:rsid w:val="008C7E2B"/>
    <w:rsid w:val="008E0DBB"/>
    <w:rsid w:val="008E5118"/>
    <w:rsid w:val="008E55B6"/>
    <w:rsid w:val="008F1F8F"/>
    <w:rsid w:val="008F6BDB"/>
    <w:rsid w:val="008F76B2"/>
    <w:rsid w:val="00907D55"/>
    <w:rsid w:val="00920D62"/>
    <w:rsid w:val="00922D57"/>
    <w:rsid w:val="0093542B"/>
    <w:rsid w:val="00936442"/>
    <w:rsid w:val="009438E3"/>
    <w:rsid w:val="00943D31"/>
    <w:rsid w:val="00955450"/>
    <w:rsid w:val="00963C4F"/>
    <w:rsid w:val="009679DD"/>
    <w:rsid w:val="0097018E"/>
    <w:rsid w:val="00973647"/>
    <w:rsid w:val="0097439A"/>
    <w:rsid w:val="009757BB"/>
    <w:rsid w:val="0098280C"/>
    <w:rsid w:val="009833A0"/>
    <w:rsid w:val="00986854"/>
    <w:rsid w:val="00987E68"/>
    <w:rsid w:val="00987F4E"/>
    <w:rsid w:val="00996DB0"/>
    <w:rsid w:val="009A0A66"/>
    <w:rsid w:val="009A3884"/>
    <w:rsid w:val="009A5822"/>
    <w:rsid w:val="009A7AC9"/>
    <w:rsid w:val="009B0B96"/>
    <w:rsid w:val="009B13F2"/>
    <w:rsid w:val="009B26F8"/>
    <w:rsid w:val="009C527B"/>
    <w:rsid w:val="009D4EDD"/>
    <w:rsid w:val="009E07F1"/>
    <w:rsid w:val="009E1189"/>
    <w:rsid w:val="009E5913"/>
    <w:rsid w:val="009E72BC"/>
    <w:rsid w:val="009E76E4"/>
    <w:rsid w:val="009F19F5"/>
    <w:rsid w:val="009F2653"/>
    <w:rsid w:val="009F354D"/>
    <w:rsid w:val="009F488F"/>
    <w:rsid w:val="00A15EE9"/>
    <w:rsid w:val="00A25035"/>
    <w:rsid w:val="00A31303"/>
    <w:rsid w:val="00A33DD5"/>
    <w:rsid w:val="00A35147"/>
    <w:rsid w:val="00A45546"/>
    <w:rsid w:val="00A45F2F"/>
    <w:rsid w:val="00A56F60"/>
    <w:rsid w:val="00A62CB2"/>
    <w:rsid w:val="00A637B4"/>
    <w:rsid w:val="00A65902"/>
    <w:rsid w:val="00A66CFC"/>
    <w:rsid w:val="00A672AE"/>
    <w:rsid w:val="00A93F98"/>
    <w:rsid w:val="00AA01A7"/>
    <w:rsid w:val="00AA1AE0"/>
    <w:rsid w:val="00AB7AAF"/>
    <w:rsid w:val="00AC1696"/>
    <w:rsid w:val="00AC4ED7"/>
    <w:rsid w:val="00AC645F"/>
    <w:rsid w:val="00AD04FD"/>
    <w:rsid w:val="00AD3E7E"/>
    <w:rsid w:val="00AD588D"/>
    <w:rsid w:val="00AD70AE"/>
    <w:rsid w:val="00AE29F2"/>
    <w:rsid w:val="00AE4F4F"/>
    <w:rsid w:val="00AE78EF"/>
    <w:rsid w:val="00AF1361"/>
    <w:rsid w:val="00B009D4"/>
    <w:rsid w:val="00B02C74"/>
    <w:rsid w:val="00B100C5"/>
    <w:rsid w:val="00B11B07"/>
    <w:rsid w:val="00B21284"/>
    <w:rsid w:val="00B24BAE"/>
    <w:rsid w:val="00B3185C"/>
    <w:rsid w:val="00B33C64"/>
    <w:rsid w:val="00B3447F"/>
    <w:rsid w:val="00B42397"/>
    <w:rsid w:val="00B43B87"/>
    <w:rsid w:val="00B45C90"/>
    <w:rsid w:val="00B470F4"/>
    <w:rsid w:val="00B51415"/>
    <w:rsid w:val="00B5477C"/>
    <w:rsid w:val="00B60F37"/>
    <w:rsid w:val="00B65021"/>
    <w:rsid w:val="00B731B6"/>
    <w:rsid w:val="00B761FB"/>
    <w:rsid w:val="00B771A0"/>
    <w:rsid w:val="00B853EE"/>
    <w:rsid w:val="00B86BEB"/>
    <w:rsid w:val="00B92774"/>
    <w:rsid w:val="00B96D9C"/>
    <w:rsid w:val="00BA0D6C"/>
    <w:rsid w:val="00BA3202"/>
    <w:rsid w:val="00BA44F7"/>
    <w:rsid w:val="00BB088B"/>
    <w:rsid w:val="00BB11A6"/>
    <w:rsid w:val="00BC3D3A"/>
    <w:rsid w:val="00BD1272"/>
    <w:rsid w:val="00BD4130"/>
    <w:rsid w:val="00BD6208"/>
    <w:rsid w:val="00BE0603"/>
    <w:rsid w:val="00BE0F53"/>
    <w:rsid w:val="00BE1635"/>
    <w:rsid w:val="00BE46ED"/>
    <w:rsid w:val="00BE5D1A"/>
    <w:rsid w:val="00BE684F"/>
    <w:rsid w:val="00BF0674"/>
    <w:rsid w:val="00BF3CA7"/>
    <w:rsid w:val="00C12AA5"/>
    <w:rsid w:val="00C12BC7"/>
    <w:rsid w:val="00C139CF"/>
    <w:rsid w:val="00C146B4"/>
    <w:rsid w:val="00C16904"/>
    <w:rsid w:val="00C207C8"/>
    <w:rsid w:val="00C253FB"/>
    <w:rsid w:val="00C32A69"/>
    <w:rsid w:val="00C34F9E"/>
    <w:rsid w:val="00C36288"/>
    <w:rsid w:val="00C40AFF"/>
    <w:rsid w:val="00C40F75"/>
    <w:rsid w:val="00C52CA2"/>
    <w:rsid w:val="00C6025D"/>
    <w:rsid w:val="00C700F0"/>
    <w:rsid w:val="00C77891"/>
    <w:rsid w:val="00C77FA6"/>
    <w:rsid w:val="00C830C0"/>
    <w:rsid w:val="00C84EED"/>
    <w:rsid w:val="00C86030"/>
    <w:rsid w:val="00C87CD1"/>
    <w:rsid w:val="00CA035E"/>
    <w:rsid w:val="00CA0807"/>
    <w:rsid w:val="00CA116B"/>
    <w:rsid w:val="00CA1DCD"/>
    <w:rsid w:val="00CA2C56"/>
    <w:rsid w:val="00CA3ED9"/>
    <w:rsid w:val="00CA5A0C"/>
    <w:rsid w:val="00CC7ED1"/>
    <w:rsid w:val="00CE1D4F"/>
    <w:rsid w:val="00CE257C"/>
    <w:rsid w:val="00CF6B69"/>
    <w:rsid w:val="00D02CDE"/>
    <w:rsid w:val="00D103A6"/>
    <w:rsid w:val="00D15D98"/>
    <w:rsid w:val="00D178AD"/>
    <w:rsid w:val="00D21857"/>
    <w:rsid w:val="00D21ACF"/>
    <w:rsid w:val="00D321B7"/>
    <w:rsid w:val="00D34DB8"/>
    <w:rsid w:val="00D37E1E"/>
    <w:rsid w:val="00D457C7"/>
    <w:rsid w:val="00D60609"/>
    <w:rsid w:val="00D6280D"/>
    <w:rsid w:val="00D67F42"/>
    <w:rsid w:val="00D749E9"/>
    <w:rsid w:val="00D80EA3"/>
    <w:rsid w:val="00D8162B"/>
    <w:rsid w:val="00D85BA4"/>
    <w:rsid w:val="00D90B5B"/>
    <w:rsid w:val="00D91611"/>
    <w:rsid w:val="00D91E39"/>
    <w:rsid w:val="00DA04DC"/>
    <w:rsid w:val="00DB2968"/>
    <w:rsid w:val="00DB2AA4"/>
    <w:rsid w:val="00DB372B"/>
    <w:rsid w:val="00DC6E4C"/>
    <w:rsid w:val="00DD0780"/>
    <w:rsid w:val="00DF0BC9"/>
    <w:rsid w:val="00DF1A65"/>
    <w:rsid w:val="00DF204F"/>
    <w:rsid w:val="00E105C3"/>
    <w:rsid w:val="00E3251B"/>
    <w:rsid w:val="00E3465C"/>
    <w:rsid w:val="00E50760"/>
    <w:rsid w:val="00E51360"/>
    <w:rsid w:val="00E51ADF"/>
    <w:rsid w:val="00E536B0"/>
    <w:rsid w:val="00E55476"/>
    <w:rsid w:val="00E601A0"/>
    <w:rsid w:val="00E64F8D"/>
    <w:rsid w:val="00E651FE"/>
    <w:rsid w:val="00E74977"/>
    <w:rsid w:val="00E83598"/>
    <w:rsid w:val="00E871E5"/>
    <w:rsid w:val="00E929A9"/>
    <w:rsid w:val="00EB21E4"/>
    <w:rsid w:val="00EB7722"/>
    <w:rsid w:val="00EC069E"/>
    <w:rsid w:val="00EC53FA"/>
    <w:rsid w:val="00ED0046"/>
    <w:rsid w:val="00ED39F8"/>
    <w:rsid w:val="00ED6557"/>
    <w:rsid w:val="00ED7A8B"/>
    <w:rsid w:val="00EE6544"/>
    <w:rsid w:val="00F026C3"/>
    <w:rsid w:val="00F06637"/>
    <w:rsid w:val="00F13CBC"/>
    <w:rsid w:val="00F15AF7"/>
    <w:rsid w:val="00F17E31"/>
    <w:rsid w:val="00F2318A"/>
    <w:rsid w:val="00F241ED"/>
    <w:rsid w:val="00F2557F"/>
    <w:rsid w:val="00F272A3"/>
    <w:rsid w:val="00F31E3B"/>
    <w:rsid w:val="00F411CD"/>
    <w:rsid w:val="00F50ABB"/>
    <w:rsid w:val="00F55CB9"/>
    <w:rsid w:val="00F57314"/>
    <w:rsid w:val="00F60833"/>
    <w:rsid w:val="00F6188F"/>
    <w:rsid w:val="00F622C0"/>
    <w:rsid w:val="00F64FA6"/>
    <w:rsid w:val="00F66768"/>
    <w:rsid w:val="00F6699F"/>
    <w:rsid w:val="00F71D2B"/>
    <w:rsid w:val="00F76918"/>
    <w:rsid w:val="00F911CF"/>
    <w:rsid w:val="00FA30AC"/>
    <w:rsid w:val="00FA6886"/>
    <w:rsid w:val="00FA6FEB"/>
    <w:rsid w:val="00FB501F"/>
    <w:rsid w:val="00FC4036"/>
    <w:rsid w:val="00FD230E"/>
    <w:rsid w:val="00FD707C"/>
    <w:rsid w:val="00FE22A3"/>
    <w:rsid w:val="00FF179E"/>
    <w:rsid w:val="00FF320F"/>
    <w:rsid w:val="00FF736B"/>
    <w:rsid w:val="09281412"/>
    <w:rsid w:val="25B74631"/>
    <w:rsid w:val="499A66C2"/>
    <w:rsid w:val="50AC77E6"/>
    <w:rsid w:val="55A02778"/>
    <w:rsid w:val="6EA219F5"/>
    <w:rsid w:val="6FA40B1C"/>
    <w:rsid w:val="78547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12" w:lineRule="atLeast"/>
      <w:ind w:firstLine="200" w:firstLineChars="200"/>
      <w:jc w:val="both"/>
    </w:pPr>
    <w:rPr>
      <w:rFonts w:ascii="Times New Roman" w:hAnsi="Times New Roman" w:eastAsia="宋体" w:cs="Times New Roman"/>
      <w:kern w:val="21"/>
      <w:sz w:val="21"/>
      <w:szCs w:val="24"/>
      <w:lang w:val="en-US" w:eastAsia="zh-CN" w:bidi="ar-SA"/>
    </w:rPr>
  </w:style>
  <w:style w:type="paragraph" w:styleId="2">
    <w:name w:val="heading 1"/>
    <w:basedOn w:val="1"/>
    <w:next w:val="1"/>
    <w:link w:val="25"/>
    <w:qFormat/>
    <w:uiPriority w:val="0"/>
    <w:pPr>
      <w:keepNext/>
      <w:keepLines/>
      <w:spacing w:before="560" w:after="480"/>
      <w:ind w:firstLine="0" w:firstLineChars="0"/>
      <w:jc w:val="center"/>
      <w:outlineLvl w:val="0"/>
    </w:pPr>
    <w:rPr>
      <w:rFonts w:ascii="Times" w:hAnsi="Times" w:eastAsia="华文新魏"/>
      <w:kern w:val="44"/>
      <w:sz w:val="44"/>
    </w:rPr>
  </w:style>
  <w:style w:type="paragraph" w:styleId="3">
    <w:name w:val="heading 2"/>
    <w:basedOn w:val="1"/>
    <w:next w:val="1"/>
    <w:link w:val="26"/>
    <w:qFormat/>
    <w:uiPriority w:val="0"/>
    <w:pPr>
      <w:keepNext/>
      <w:keepLines/>
      <w:spacing w:before="150" w:beforeLines="150" w:after="150" w:afterLines="150"/>
      <w:ind w:firstLine="0" w:firstLineChars="0"/>
      <w:jc w:val="center"/>
      <w:outlineLvl w:val="1"/>
    </w:pPr>
    <w:rPr>
      <w:rFonts w:eastAsia="方正准圆简体"/>
      <w:kern w:val="24"/>
      <w:sz w:val="28"/>
    </w:rPr>
  </w:style>
  <w:style w:type="paragraph" w:styleId="4">
    <w:name w:val="heading 3"/>
    <w:basedOn w:val="1"/>
    <w:next w:val="1"/>
    <w:link w:val="27"/>
    <w:qFormat/>
    <w:uiPriority w:val="0"/>
    <w:pPr>
      <w:keepNext/>
      <w:keepLines/>
      <w:spacing w:before="120" w:after="120"/>
      <w:outlineLvl w:val="2"/>
    </w:pPr>
    <w:rPr>
      <w:rFonts w:eastAsia="黑体"/>
    </w:rPr>
  </w:style>
  <w:style w:type="paragraph" w:styleId="5">
    <w:name w:val="heading 4"/>
    <w:basedOn w:val="1"/>
    <w:next w:val="6"/>
    <w:link w:val="28"/>
    <w:qFormat/>
    <w:uiPriority w:val="0"/>
    <w:pPr>
      <w:keepNext/>
      <w:keepLines/>
      <w:spacing w:before="10" w:beforeLines="10" w:after="10" w:afterLines="10"/>
      <w:outlineLvl w:val="3"/>
    </w:pPr>
    <w:rPr>
      <w:rFonts w:eastAsia="方正楷体简体"/>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Normal Indent"/>
    <w:basedOn w:val="1"/>
    <w:unhideWhenUsed/>
    <w:qFormat/>
    <w:uiPriority w:val="99"/>
    <w:pPr>
      <w:ind w:firstLine="420"/>
    </w:pPr>
  </w:style>
  <w:style w:type="paragraph" w:styleId="7">
    <w:name w:val="Body Text Indent"/>
    <w:basedOn w:val="1"/>
    <w:link w:val="29"/>
    <w:uiPriority w:val="0"/>
    <w:pPr>
      <w:spacing w:line="360" w:lineRule="auto"/>
      <w:ind w:firstLine="850" w:firstLineChars="354"/>
    </w:pPr>
    <w:rPr>
      <w:sz w:val="24"/>
    </w:rPr>
  </w:style>
  <w:style w:type="paragraph" w:styleId="8">
    <w:name w:val="toc 3"/>
    <w:basedOn w:val="1"/>
    <w:next w:val="1"/>
    <w:autoRedefine/>
    <w:unhideWhenUsed/>
    <w:qFormat/>
    <w:uiPriority w:val="39"/>
    <w:pPr>
      <w:ind w:left="840" w:leftChars="400"/>
    </w:pPr>
  </w:style>
  <w:style w:type="paragraph" w:styleId="9">
    <w:name w:val="footer"/>
    <w:basedOn w:val="1"/>
    <w:link w:val="32"/>
    <w:unhideWhenUsed/>
    <w:qFormat/>
    <w:uiPriority w:val="99"/>
    <w:pPr>
      <w:tabs>
        <w:tab w:val="center" w:pos="4153"/>
        <w:tab w:val="right" w:pos="8306"/>
      </w:tabs>
      <w:spacing w:line="240" w:lineRule="atLeast"/>
      <w:jc w:val="left"/>
    </w:pPr>
    <w:rPr>
      <w:sz w:val="18"/>
      <w:szCs w:val="18"/>
    </w:rPr>
  </w:style>
  <w:style w:type="paragraph" w:styleId="10">
    <w:name w:val="header"/>
    <w:basedOn w:val="1"/>
    <w:link w:val="31"/>
    <w:unhideWhenUsed/>
    <w:qFormat/>
    <w:uiPriority w:val="99"/>
    <w:pPr>
      <w:pBdr>
        <w:bottom w:val="single" w:color="auto" w:sz="6" w:space="1"/>
      </w:pBdr>
      <w:tabs>
        <w:tab w:val="center" w:pos="4153"/>
        <w:tab w:val="right" w:pos="8306"/>
      </w:tabs>
      <w:spacing w:line="240" w:lineRule="atLeast"/>
      <w:jc w:val="center"/>
    </w:pPr>
    <w:rPr>
      <w:sz w:val="18"/>
      <w:szCs w:val="18"/>
    </w:rPr>
  </w:style>
  <w:style w:type="paragraph" w:styleId="11">
    <w:name w:val="toc 1"/>
    <w:basedOn w:val="1"/>
    <w:next w:val="1"/>
    <w:autoRedefine/>
    <w:unhideWhenUsed/>
    <w:qFormat/>
    <w:uiPriority w:val="39"/>
  </w:style>
  <w:style w:type="paragraph" w:styleId="12">
    <w:name w:val="toc 2"/>
    <w:basedOn w:val="1"/>
    <w:next w:val="1"/>
    <w:autoRedefine/>
    <w:unhideWhenUsed/>
    <w:qFormat/>
    <w:uiPriority w:val="39"/>
    <w:pPr>
      <w:ind w:left="420" w:leftChars="200"/>
    </w:pPr>
  </w:style>
  <w:style w:type="paragraph" w:styleId="13">
    <w:name w:val="Normal (Web)"/>
    <w:basedOn w:val="1"/>
    <w:semiHidden/>
    <w:unhideWhenUsed/>
    <w:qFormat/>
    <w:uiPriority w:val="99"/>
    <w:pPr>
      <w:widowControl/>
      <w:snapToGrid/>
      <w:spacing w:before="100" w:beforeAutospacing="1" w:after="100" w:afterAutospacing="1" w:line="240" w:lineRule="auto"/>
      <w:ind w:firstLine="0" w:firstLineChars="0"/>
      <w:jc w:val="left"/>
    </w:pPr>
    <w:rPr>
      <w:rFonts w:ascii="宋体" w:hAnsi="宋体" w:cs="宋体"/>
      <w:kern w:val="0"/>
      <w:sz w:val="24"/>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标题 1 字符"/>
    <w:basedOn w:val="16"/>
    <w:qFormat/>
    <w:uiPriority w:val="9"/>
    <w:rPr>
      <w:rFonts w:ascii="Times New Roman" w:hAnsi="Times New Roman" w:eastAsia="宋体" w:cs="Times New Roman"/>
      <w:b/>
      <w:bCs/>
      <w:kern w:val="44"/>
      <w:sz w:val="44"/>
      <w:szCs w:val="44"/>
    </w:rPr>
  </w:style>
  <w:style w:type="character" w:customStyle="1" w:styleId="21">
    <w:name w:val="标题 2 字符"/>
    <w:basedOn w:val="16"/>
    <w:semiHidden/>
    <w:qFormat/>
    <w:uiPriority w:val="9"/>
    <w:rPr>
      <w:rFonts w:asciiTheme="majorHAnsi" w:hAnsiTheme="majorHAnsi" w:eastAsiaTheme="majorEastAsia" w:cstheme="majorBidi"/>
      <w:b/>
      <w:bCs/>
      <w:kern w:val="21"/>
      <w:sz w:val="32"/>
      <w:szCs w:val="32"/>
    </w:rPr>
  </w:style>
  <w:style w:type="character" w:customStyle="1" w:styleId="22">
    <w:name w:val="标题 3 字符"/>
    <w:basedOn w:val="16"/>
    <w:semiHidden/>
    <w:uiPriority w:val="9"/>
    <w:rPr>
      <w:rFonts w:ascii="Times New Roman" w:hAnsi="Times New Roman" w:eastAsia="宋体" w:cs="Times New Roman"/>
      <w:b/>
      <w:bCs/>
      <w:kern w:val="21"/>
      <w:sz w:val="32"/>
      <w:szCs w:val="32"/>
    </w:rPr>
  </w:style>
  <w:style w:type="character" w:customStyle="1" w:styleId="23">
    <w:name w:val="标题 4 字符"/>
    <w:basedOn w:val="16"/>
    <w:semiHidden/>
    <w:uiPriority w:val="9"/>
    <w:rPr>
      <w:rFonts w:asciiTheme="majorHAnsi" w:hAnsiTheme="majorHAnsi" w:eastAsiaTheme="majorEastAsia" w:cstheme="majorBidi"/>
      <w:b/>
      <w:bCs/>
      <w:kern w:val="21"/>
      <w:sz w:val="28"/>
      <w:szCs w:val="28"/>
    </w:rPr>
  </w:style>
  <w:style w:type="character" w:customStyle="1" w:styleId="24">
    <w:name w:val="正文文本缩进 字符"/>
    <w:basedOn w:val="16"/>
    <w:semiHidden/>
    <w:uiPriority w:val="99"/>
    <w:rPr>
      <w:rFonts w:ascii="Times New Roman" w:hAnsi="Times New Roman" w:eastAsia="宋体" w:cs="Times New Roman"/>
      <w:kern w:val="21"/>
      <w:szCs w:val="24"/>
    </w:rPr>
  </w:style>
  <w:style w:type="character" w:customStyle="1" w:styleId="25">
    <w:name w:val="标题 1 字符1"/>
    <w:link w:val="2"/>
    <w:uiPriority w:val="0"/>
    <w:rPr>
      <w:rFonts w:ascii="Times" w:hAnsi="Times" w:eastAsia="华文新魏" w:cs="Times New Roman"/>
      <w:kern w:val="44"/>
      <w:sz w:val="44"/>
      <w:szCs w:val="24"/>
    </w:rPr>
  </w:style>
  <w:style w:type="character" w:customStyle="1" w:styleId="26">
    <w:name w:val="标题 2 字符1"/>
    <w:link w:val="3"/>
    <w:uiPriority w:val="0"/>
    <w:rPr>
      <w:rFonts w:ascii="Times New Roman" w:hAnsi="Times New Roman" w:eastAsia="方正准圆简体" w:cs="Times New Roman"/>
      <w:kern w:val="24"/>
      <w:sz w:val="28"/>
      <w:szCs w:val="24"/>
    </w:rPr>
  </w:style>
  <w:style w:type="character" w:customStyle="1" w:styleId="27">
    <w:name w:val="标题 3 字符1"/>
    <w:link w:val="4"/>
    <w:uiPriority w:val="0"/>
    <w:rPr>
      <w:rFonts w:ascii="Times New Roman" w:hAnsi="Times New Roman" w:eastAsia="黑体" w:cs="Times New Roman"/>
      <w:kern w:val="21"/>
      <w:szCs w:val="24"/>
    </w:rPr>
  </w:style>
  <w:style w:type="character" w:customStyle="1" w:styleId="28">
    <w:name w:val="标题 4 字符1"/>
    <w:link w:val="5"/>
    <w:uiPriority w:val="0"/>
    <w:rPr>
      <w:rFonts w:ascii="Times New Roman" w:hAnsi="Times New Roman" w:eastAsia="方正楷体简体" w:cs="Times New Roman"/>
      <w:kern w:val="21"/>
      <w:szCs w:val="24"/>
    </w:rPr>
  </w:style>
  <w:style w:type="character" w:customStyle="1" w:styleId="29">
    <w:name w:val="正文文本缩进 字符1"/>
    <w:link w:val="7"/>
    <w:uiPriority w:val="0"/>
    <w:rPr>
      <w:rFonts w:ascii="Times New Roman" w:hAnsi="Times New Roman" w:eastAsia="宋体" w:cs="Times New Roman"/>
      <w:kern w:val="21"/>
      <w:sz w:val="24"/>
      <w:szCs w:val="24"/>
    </w:rPr>
  </w:style>
  <w:style w:type="paragraph" w:styleId="30">
    <w:name w:val="List Paragraph"/>
    <w:basedOn w:val="1"/>
    <w:qFormat/>
    <w:uiPriority w:val="34"/>
    <w:pPr>
      <w:ind w:firstLine="420"/>
    </w:pPr>
  </w:style>
  <w:style w:type="character" w:customStyle="1" w:styleId="31">
    <w:name w:val="页眉 字符"/>
    <w:basedOn w:val="16"/>
    <w:link w:val="10"/>
    <w:uiPriority w:val="99"/>
    <w:rPr>
      <w:rFonts w:ascii="Times New Roman" w:hAnsi="Times New Roman" w:eastAsia="宋体" w:cs="Times New Roman"/>
      <w:kern w:val="21"/>
      <w:sz w:val="18"/>
      <w:szCs w:val="18"/>
    </w:rPr>
  </w:style>
  <w:style w:type="character" w:customStyle="1" w:styleId="32">
    <w:name w:val="页脚 字符"/>
    <w:basedOn w:val="16"/>
    <w:link w:val="9"/>
    <w:uiPriority w:val="99"/>
    <w:rPr>
      <w:rFonts w:ascii="Times New Roman" w:hAnsi="Times New Roman" w:eastAsia="宋体" w:cs="Times New Roman"/>
      <w:kern w:val="21"/>
      <w:sz w:val="18"/>
      <w:szCs w:val="18"/>
    </w:rPr>
  </w:style>
  <w:style w:type="paragraph" w:customStyle="1" w:styleId="33">
    <w:name w:val="TOC Heading"/>
    <w:basedOn w:val="2"/>
    <w:next w:val="1"/>
    <w:unhideWhenUsed/>
    <w:qFormat/>
    <w:uiPriority w:val="39"/>
    <w:pPr>
      <w:widowControl/>
      <w:snapToGrid/>
      <w:spacing w:before="240" w:after="0" w:line="259" w:lineRule="auto"/>
      <w:jc w:val="left"/>
      <w:outlineLvl w:val="9"/>
    </w:pPr>
    <w:rPr>
      <w:rFonts w:asciiTheme="majorHAnsi" w:hAnsiTheme="majorHAnsi" w:eastAsiaTheme="majorEastAsia" w:cstheme="majorBidi"/>
      <w:color w:val="2E75B6" w:themeColor="accent1" w:themeShade="BF"/>
      <w:kern w:val="0"/>
      <w:sz w:val="32"/>
      <w:szCs w:val="32"/>
    </w:rPr>
  </w:style>
  <w:style w:type="character" w:customStyle="1" w:styleId="34">
    <w:name w:val="high-light-bg"/>
    <w:basedOn w:val="16"/>
    <w:uiPriority w:val="0"/>
  </w:style>
  <w:style w:type="table" w:customStyle="1" w:styleId="35">
    <w:name w:val="Grid Table Light"/>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6">
    <w:name w:val="Plain Table 1"/>
    <w:basedOn w:val="14"/>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7">
    <w:name w:val="Plain Table 2"/>
    <w:basedOn w:val="1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1">
      <a:majorFont>
        <a:latin typeface="Times New Roman"/>
        <a:ea typeface="华文新魏"/>
        <a:cs typeface=""/>
      </a:majorFont>
      <a:minorFont>
        <a:latin typeface="Times New Roman"/>
        <a:ea typeface="华文楷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SC</Company>
  <Pages>8</Pages>
  <Words>5304</Words>
  <Characters>7872</Characters>
  <Lines>4</Lines>
  <Paragraphs>1</Paragraphs>
  <TotalTime>10</TotalTime>
  <ScaleCrop>false</ScaleCrop>
  <LinksUpToDate>false</LinksUpToDate>
  <CharactersWithSpaces>8220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2018-09-26T00:54:00Z</dcterms:created>
  <dc:creator>Hongfei Du</dc:creator>
  <cp:lastModifiedBy>Iscariote</cp:lastModifiedBy>
  <dcterms:modified xsi:type="dcterms:W3CDTF">2024-12-16T13:17:52Z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84D537B9178A4A05A2D9C7FE211262CA_12</vt:lpwstr>
  </property>
</Properties>
</file>