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20"/>
        <w:jc w:val="center"/>
      </w:pPr>
      <w:r>
        <w:rPr>
          <w:rFonts w:ascii="Calibri" w:hAnsi="Calibri"/>
          <w:b/>
          <w:color w:val="B7791F"/>
          <w:sz w:val="22"/>
        </w:rPr>
        <w:t>TRABALHO DE CONCLUSÃO DE CURSO</w:t>
      </w:r>
    </w:p>
    <w:p>
      <w:pPr>
        <w:spacing w:after="200"/>
        <w:jc w:val="center"/>
      </w:pPr>
      <w:r>
        <w:rPr>
          <w:rFonts w:ascii="Calibri" w:hAnsi="Calibri"/>
          <w:b/>
          <w:color w:val="203748"/>
          <w:sz w:val="56"/>
        </w:rPr>
        <w:t>Controle de Não Conformidades</w:t>
        <w:br/>
        <w:t>de Fornecedores</w:t>
      </w:r>
    </w:p>
    <w:p>
      <w:pPr>
        <w:spacing w:after="640"/>
        <w:jc w:val="center"/>
      </w:pPr>
      <w:r>
        <w:rPr>
          <w:rFonts w:ascii="Calibri" w:hAnsi="Calibri"/>
          <w:color w:val="1F4D78"/>
          <w:sz w:val="30"/>
        </w:rPr>
        <w:t>Sistema ISO 9001 no TOTVS Protheus</w:t>
      </w:r>
    </w:p>
    <w:p>
      <w:pPr>
        <w:spacing w:after="160"/>
        <w:jc w:val="center"/>
      </w:pPr>
      <w:r>
        <w:rPr>
          <w:rFonts w:ascii="Calibri" w:hAnsi="Calibri"/>
          <w:b/>
          <w:color w:val="1F2937"/>
          <w:sz w:val="24"/>
        </w:rPr>
        <w:t>Higor Fequer Lima</w:t>
      </w:r>
    </w:p>
    <w:p>
      <w:pPr>
        <w:jc w:val="center"/>
      </w:pPr>
      <w:r>
        <w:rPr>
          <w:rFonts w:ascii="Calibri" w:hAnsi="Calibri"/>
          <w:i/>
          <w:color w:val="5B6470"/>
          <w:sz w:val="21"/>
        </w:rPr>
        <w:t>Harbour/ADVPL - Do Zero ao Protheus | Agosto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r>
        <w:rPr>
          <w:rFonts w:ascii="Calibri" w:hAnsi="Calibri"/>
          <w:color w:val="1F2937"/>
        </w:rPr>
        <w:t>Este documento descreve a solução desenvolvida para registrar certificados de qualidade e ocorrências de conformidade ou não conformidade nas entregas de fornecedores. O sistema opera no SIGACOM e integra duas tabelas customizadas aos cadastros padrão SA2 e SB1.</w:t>
      </w:r>
    </w:p>
    <w:p>
      <w:pPr>
        <w:spacing w:before="80" w:after="160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Situação da entrega: </w:t>
      </w:r>
      <w:r>
        <w:rPr>
          <w:rFonts w:ascii="Calibri" w:hAnsi="Calibri"/>
          <w:color w:val="1F2937"/>
        </w:rPr>
        <w:t>fontes, dicionário em CSV, menu, consultas, documentação e roteiro de testes concluídos. A compilação, a criação física das tabelas e os prints dependem de um ambiente Protheus configurado.</w:t>
      </w:r>
    </w:p>
    <w:p>
      <w:pPr>
        <w:pStyle w:val="Heading2"/>
        <w:keepNext/>
      </w:pPr>
      <w:r>
        <w:t>1.1 Escopo implementado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Tabelas ZZ1 e ZZ2, com 23 campos e seis índices.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Rotinas mBrowse STTZZ1 e STTZZ2, incluindo legendas e filtro por controle.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Validações referenciais com SA2, SB1 e ZZ1, além de datas, tolerância, quantidades e valores.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Campos virtuais, gatilhos SX7, consultas SXB e menu do SIGACOM.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Tratamento com BEGIN SEQUENCE/RECOVER, mensagem amigável e log técnico.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Biblioteca comum, classe ADVPL e bloqueio de exclusão com vínculo.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Checklist de entrega e pendências registrado em AUTOAVALIACAO.md.</w:t>
      </w:r>
    </w:p>
    <w:p>
      <w:pPr>
        <w:pStyle w:val="Heading2"/>
        <w:keepNext/>
      </w:pPr>
      <w:r>
        <w:t>1.2 Arquitetura lógica</w:t>
      </w:r>
    </w:p>
    <w:p>
      <w:r>
        <w:rPr>
          <w:rFonts w:ascii="Calibri" w:hAnsi="Calibri"/>
          <w:color w:val="1F2937"/>
        </w:rPr>
        <w:t>A ZZ1 representa o controle e o certificado do fornecedor. A ZZ2 registra cada ocorrência de entrada de material. A chave ZZ2_CONFOR relaciona a ocorrência ao código ZZ1_CODIGO; os dados do fornecedor são derivados da ZZ1 e o produto é validado na SB1.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SA2 (fornecedor e loja) -&gt; ZZ1 (certificado e tolerância)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ZZ1 (controle) -&gt; ZZ2 (ocorrências de material)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SB1 (produto) -&gt; ZZ2 (item inspecionado)</w:t>
      </w:r>
    </w:p>
    <w:p>
      <w:pPr>
        <w:pStyle w:val="Heading1"/>
        <w:keepNext/>
      </w:pPr>
      <w:r>
        <w:t>2. Modelo de dados</w:t>
      </w:r>
    </w:p>
    <w:p>
      <w:pPr>
        <w:pStyle w:val="Heading2"/>
        <w:keepNext/>
      </w:pPr>
      <w:r>
        <w:t>2.1 ZZ1 - Controle de Fornecimento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600"/>
        <w:gridCol w:w="700"/>
        <w:gridCol w:w="1000"/>
        <w:gridCol w:w="52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Tipo</w:t>
            </w:r>
          </w:p>
        </w:tc>
        <w:tc>
          <w:tcPr>
            <w:tcW w:type="dxa" w:w="7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Tam.</w:t>
            </w:r>
          </w:p>
        </w:tc>
        <w:tc>
          <w:tcPr>
            <w:tcW w:type="dxa" w:w="10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Contexto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Finalidade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ZZ1_FILIAL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Filial do registro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ZZ1_CODIGO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Código do controle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ZZ1_FORNEC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Fornecedor SA2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ZZ1_LOJAFO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Loja do fornecedor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ZZ1_NOMEFO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40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Virtual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Nome obtido da SA2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ZZ1_CERTIF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256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Dados do certificado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ZZ1_VALCER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D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Validade do certificado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ZZ1_TOLERA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5,2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Tolerância máxima (%)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ZZ1_TOTOK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Quantidade conforme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ZZ1_TOTNOK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Quantidade não conforme</w:t>
            </w:r>
          </w:p>
        </w:tc>
      </w:tr>
    </w:tbl>
    <w:p>
      <w:pPr>
        <w:pStyle w:val="Heading3"/>
        <w:keepNext/>
      </w:pPr>
      <w:r>
        <w:t>2.2 Índices da ZZ1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5700"/>
        <w:gridCol w:w="2860"/>
      </w:tblGrid>
      <w:tr>
        <w:trPr>
          <w:tblHeader w:val="true"/>
        </w:trPr>
        <w:tc>
          <w:tcPr>
            <w:tcW w:type="dxa" w:w="8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Ordem</w:t>
            </w:r>
          </w:p>
        </w:tc>
        <w:tc>
          <w:tcPr>
            <w:tcW w:type="dxa" w:w="57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Expressão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Uso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5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ZZ1_FILIAL + ZZ1_CODIGO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Chave primária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5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ZZ1_FILIAL + ZZ1_FORNEC + ZZ1_LOJAFO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Por fornecedor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5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ZZ1_FILIAL + DTOS(ZZ1_VALCER)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Por validade</w:t>
            </w:r>
          </w:p>
        </w:tc>
      </w:tr>
    </w:tbl>
    <w:p>
      <w:pPr>
        <w:pStyle w:val="Heading2"/>
        <w:keepNext/>
      </w:pPr>
      <w:r>
        <w:t>2.3 ZZ2 - Ocorrências do Fornecedor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600"/>
        <w:gridCol w:w="700"/>
        <w:gridCol w:w="1000"/>
        <w:gridCol w:w="52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Tipo</w:t>
            </w:r>
          </w:p>
        </w:tc>
        <w:tc>
          <w:tcPr>
            <w:tcW w:type="dxa" w:w="7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Tam.</w:t>
            </w:r>
          </w:p>
        </w:tc>
        <w:tc>
          <w:tcPr>
            <w:tcW w:type="dxa" w:w="10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Contexto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Finalidade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ZZ2_FILIAL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Filial do registro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ZZ2_CONFOR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Controle relacionado na ZZ1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ZZ2_FORNEC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Fornecedor herdado da ZZ1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ZZ2_LOJAFO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Loja herdada da ZZ1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ZZ2_NOMEFO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40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Virtual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Nome obtido da SA2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ZZ2_DATA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D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Data da ocorrência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ZZ2_HORA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Hora da ocorrência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ZZ2_CODPRO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C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15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Produto SB1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ZZ2_QTDOK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Quantidade conforme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ZZ2_QTDNOK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Quantidade não conforme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ZZ2_VLRUNI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Real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Valor unitário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ZZ2_TOTOK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Virtual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Valor conforme calculado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ZZ2_TOTNOK</w:t>
            </w:r>
          </w:p>
        </w:tc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N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12,2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Virtual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Valor não conforme calculado</w:t>
            </w:r>
          </w:p>
        </w:tc>
      </w:tr>
    </w:tbl>
    <w:p>
      <w:pPr>
        <w:pStyle w:val="Heading3"/>
        <w:keepNext/>
      </w:pPr>
      <w:r>
        <w:t>2.4 Índices da ZZ2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6400"/>
        <w:gridCol w:w="2160"/>
      </w:tblGrid>
      <w:tr>
        <w:trPr>
          <w:tblHeader w:val="true"/>
        </w:trPr>
        <w:tc>
          <w:tcPr>
            <w:tcW w:type="dxa" w:w="8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Ordem</w:t>
            </w:r>
          </w:p>
        </w:tc>
        <w:tc>
          <w:tcPr>
            <w:tcW w:type="dxa" w:w="64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Expressão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Uso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1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7"/>
              </w:rPr>
              <w:t>ZZ2_FILIAL + ZZ2_CONFOR + DTOS(ZZ2_DATA) + ZZ2_HORA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Chave primária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2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7"/>
              </w:rPr>
              <w:t>ZZ2_FILIAL + ZZ2_FORNEC + ZZ2_LOJAFO + DTOS(ZZ2_DATA)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Fornecedor/data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3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7"/>
              </w:rPr>
              <w:t>ZZ2_FILIAL + DTOS(ZZ2_DATA)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7"/>
              </w:rPr>
              <w:t>Por data</w:t>
            </w:r>
          </w:p>
        </w:tc>
      </w:tr>
    </w:tbl>
    <w:p>
      <w:pPr>
        <w:pStyle w:val="Heading1"/>
        <w:keepNext/>
      </w:pPr>
      <w:r>
        <w:t>3. Regras de negócio</w:t>
      </w:r>
    </w:p>
    <w:p>
      <w:pPr>
        <w:pStyle w:val="Heading2"/>
        <w:keepNext/>
      </w:pPr>
      <w:r>
        <w:t>3.1 Validações da ZZ1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Fornecedor e loja devem formar uma chave válida no cadastro SA2.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Na inclusão, a validade do certificado deve ser igual ou posterior à data-base.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 tolerância de não conformidade deve permanecer entre 0 e 100, inclusive.</w:t>
      </w:r>
    </w:p>
    <w:p>
      <w:pPr>
        <w:pStyle w:val="Heading2"/>
        <w:keepNext/>
      </w:pPr>
      <w:r>
        <w:t>3.2 Validações da ZZ2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 controle informado deve existir na ZZ1.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 produto informado deve existir na SB1.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 data da ocorrência não pode ser futura.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As quantidades não podem ser negativas e a soma deve ser maior que zero.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 valor unitário não pode ser negativo.</w:t>
      </w:r>
    </w:p>
    <w:p>
      <w:pPr>
        <w:pStyle w:val="Heading2"/>
        <w:keepNext/>
      </w:pPr>
      <w:r>
        <w:t>3.3 Campos virtuais e gatilhos</w:t>
      </w:r>
    </w:p>
    <w:p>
      <w:r>
        <w:rPr>
          <w:rFonts w:ascii="Calibri" w:hAnsi="Calibri"/>
          <w:color w:val="1F2937"/>
        </w:rPr>
        <w:t>Os nomes de fornecedor são recuperados por POSICIONE() na SA2. Os valores ZZ2_TOTOK e ZZ2_TOTNOK são calculados pela quantidade multiplicada pelo valor unitário. Ao selecionar ZZ2_CONFOR, os gatilhos copiam fornecedor e loja da ZZ1 e resolvem o nome; data e hora recebem dDataBase e Time() durante a inclusão.</w:t>
      </w:r>
    </w:p>
    <w:p>
      <w:pPr>
        <w:pStyle w:val="Heading1"/>
        <w:keepNext/>
      </w:pPr>
      <w:r>
        <w:t>4. Rotinas ADVPL</w:t>
      </w:r>
    </w:p>
    <w:p>
      <w:pPr>
        <w:pStyle w:val="Heading2"/>
        <w:keepNext/>
      </w:pPr>
      <w:r>
        <w:t>4.1 STTZZ1.PRW</w:t>
      </w:r>
    </w:p>
    <w:p>
      <w:r>
        <w:rPr>
          <w:rFonts w:ascii="Calibri" w:hAnsi="Calibri"/>
          <w:color w:val="1F2937"/>
        </w:rPr>
        <w:t>A rotina mantém a ZZ1 e apresenta três situações de validade: vermelho para certificado vencido, amarelo para vencimento em até 30 dias e verde para as demais datas. O botão Ocorrências abre a ZZ2 filtrada pelo controle selecionado. A exclusão é bloqueada quando existe vínculo.</w:t>
      </w:r>
    </w:p>
    <w:p>
      <w:pPr>
        <w:pStyle w:val="Heading2"/>
        <w:keepNext/>
      </w:pPr>
      <w:r>
        <w:t>4.2 STTZZ2.PRW</w:t>
      </w:r>
    </w:p>
    <w:p>
      <w:r>
        <w:rPr>
          <w:rFonts w:ascii="Calibri" w:hAnsi="Calibri"/>
          <w:color w:val="1F2937"/>
        </w:rPr>
        <w:t>A rotina opera em modo geral ou filtrado. A legenda compara o percentual de não conformidade com ZZ1_TOLERA: acima da tolerância, vermelho; dentro da tolerância, verde. O cálculo trata total zero sem divisão por zero.</w:t>
      </w:r>
    </w:p>
    <w:p>
      <w:pPr>
        <w:spacing w:before="80" w:after="160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Fórmula: </w:t>
      </w:r>
      <w:r>
        <w:rPr>
          <w:rFonts w:ascii="Calibri" w:hAnsi="Calibri"/>
          <w:color w:val="1F2937"/>
        </w:rPr>
        <w:t>% NC = QTDNOK / (QTDOK + QTDNOK) x 100</w:t>
      </w:r>
    </w:p>
    <w:p>
      <w:pPr>
        <w:pStyle w:val="Heading2"/>
        <w:keepNext/>
      </w:pPr>
      <w:r>
        <w:t>4.3 STTZZLIB.PRW e STTISO.PRW</w:t>
      </w:r>
    </w:p>
    <w:p>
      <w:r>
        <w:rPr>
          <w:rFonts w:ascii="Calibri" w:hAnsi="Calibri"/>
          <w:color w:val="1F2937"/>
        </w:rPr>
        <w:t>A biblioteca concentra nomes de fornecedor/produto, percentual, janela de vencimento, tolerância, verificação de vínculo e log. A classe TCCAnaliseISO encapsula a avaliação do certificado e da qualidade, reutilizando essas regras.</w:t>
      </w:r>
    </w:p>
    <w:p>
      <w:pPr>
        <w:pStyle w:val="Heading2"/>
        <w:keepNext/>
      </w:pPr>
      <w:r>
        <w:t>4.4 Tratamento de erros</w:t>
      </w:r>
    </w:p>
    <w:p>
      <w:r>
        <w:rPr>
          <w:rFonts w:ascii="Calibri" w:hAnsi="Calibri"/>
          <w:color w:val="1F2937"/>
        </w:rPr>
        <w:t>As ações AxInclui, AxAltera e AxDeleta são chamadas dentro de BEGIN SEQUENCE/RECOVER USING com ErrorBlock temporário. Em uma exceção, a execução registra o detalhe técnico e mostra uma mensagem amigável. Não se abre uma transação externa durante o formulário interativo, pois as ações Ax* administram a própria persistência.</w:t>
      </w:r>
    </w:p>
    <w:p>
      <w:pPr>
        <w:spacing w:before="80" w:after="160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Integridade: </w:t>
      </w:r>
      <w:r>
        <w:rPr>
          <w:rFonts w:ascii="Calibri" w:hAnsi="Calibri"/>
          <w:color w:val="1F2937"/>
        </w:rPr>
        <w:t>se a consulta de vínculos da ZZ2 falhar, a exclusão da ZZ1 é bloqueada por segurança (fail-closed).</w:t>
      </w:r>
    </w:p>
    <w:p>
      <w:pPr>
        <w:pStyle w:val="Heading1"/>
        <w:keepNext/>
      </w:pPr>
      <w:r>
        <w:t>5. Consultas e menu</w:t>
      </w:r>
    </w:p>
    <w:p>
      <w:pPr>
        <w:pStyle w:val="Heading2"/>
        <w:keepNext/>
      </w:pPr>
      <w:r>
        <w:t>5.1 Consultas SXB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Consulta</w:t>
            </w:r>
          </w:p>
        </w:tc>
        <w:tc>
          <w:tcPr>
            <w:tcW w:type="dxa" w:w="50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Campos exibidos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Aplicação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ZZ1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ZZ1_CODIGO, ZZ1_NOMEFO, ZZ1_VALCER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F3 de ZZ2_CONFOR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SA2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A2_COD, A2_LOJA, A2_NOME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F3 do fornecedor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SB1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B1_COD, B1_DESC, B1_UM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F3 do produto</w:t>
            </w:r>
          </w:p>
        </w:tc>
      </w:tr>
    </w:tbl>
    <w:p>
      <w:pPr>
        <w:pStyle w:val="Heading2"/>
        <w:keepNext/>
      </w:pPr>
      <w:r>
        <w:t>5.2 Menu SIGACOM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Cadastros &gt; Controle ISO 9001 &gt; Controle de Fornecimento (ZZ1) -&gt; STTZZ1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Cadastros &gt; Controle ISO 9001 &gt; Ocorrências de Fornecedores (ZZ2) -&gt; STTZZ2</w:t>
      </w:r>
    </w:p>
    <w:p>
      <w:pPr>
        <w:pStyle w:val="Heading1"/>
        <w:keepNext/>
      </w:pPr>
      <w:r>
        <w:t>6. Instalação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Fazer backup do dicionário e utilizar primeiro um ambiente de homologação.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Criar ZZ1 e ZZ2 no Configurador conforme SX2-tabelas.csv.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Cadastrar os 23 campos de SX3-campos.csv, respeitando contexto, validação e fórmula.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Criar os seis índices de SIX-indices.csv.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Configurar os gatilhos SX7 e as consultas SXB.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Gerar ou atualizar as estruturas físicas pelo procedimento oficial da release.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Compilar STTZZLIB, STTISO, STTZZ1 e STTZZ2 no RPO de homologação.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F2937"/>
          <w:sz w:val="22"/>
        </w:rPr>
        <w:t>Cadastrar o menu do SIGACOM, atualizar o menu do usuário e executar os testes.</w:t>
      </w:r>
    </w:p>
    <w:p>
      <w:pPr>
        <w:pStyle w:val="Heading1"/>
        <w:keepNext/>
      </w:pPr>
      <w:r>
        <w:t>7. Plano de testes e evidências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Cenário</w:t>
            </w:r>
          </w:p>
        </w:tc>
        <w:tc>
          <w:tcPr>
            <w:tcW w:type="dxa" w:w="546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Incluir ZZ1 válida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Registro salvo; nome virtual exibido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Fornecedor inexistente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Operação rejeitada com mensagem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Tolerância -1 ou 101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Operação rejeitada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Validade passada na inclusão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Operação rejeitada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Abrir Ocorrências pela ZZ1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Somente a ZZ2 vinculada é exibida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Incluir ZZ2 válida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Totais virtuais calculados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Controle/produto inexistente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Operação rejeitada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Data futura/quantidades inválidas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Operação rejeitada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% NC acima da tolerância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Legenda vermelha</w:t>
            </w:r>
          </w:p>
        </w:tc>
      </w:tr>
      <w:tr>
        <w:tc>
          <w:tcPr>
            <w:tcW w:type="dxa" w:w="3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Excluir ZZ1 com vínculo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Exclusão bloqueada</w:t>
            </w:r>
          </w:p>
        </w:tc>
      </w:tr>
    </w:tbl>
    <w:p>
      <w:pPr>
        <w:pStyle w:val="Heading2"/>
        <w:keepNext/>
      </w:pPr>
      <w:r>
        <w:t>7.1 Evidências necessárias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Configurador com tabelas, campos e índices.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Menu do SIGACOM com as duas rotinas.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Browses ZZ1 e ZZ2 com as legendas.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Validações positivas e negativas.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Filtro da ZZ2, bloqueio de exclusão e log de erro controlado.</w:t>
      </w:r>
    </w:p>
    <w:p>
      <w:pPr>
        <w:spacing w:before="80" w:after="160"/>
        <w:ind w:left="115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Transparência: </w:t>
      </w:r>
      <w:r>
        <w:rPr>
          <w:rFonts w:ascii="Calibri" w:hAnsi="Calibri"/>
          <w:color w:val="1F2937"/>
        </w:rPr>
        <w:t>não foram inseridos prints simulados. As imagens devem ser capturadas após a execução real no Protheus/SmartClient.</w:t>
      </w:r>
    </w:p>
    <w:p>
      <w:pPr>
        <w:pStyle w:val="Heading1"/>
        <w:keepNext/>
      </w:pPr>
      <w:r>
        <w:t>8. Limitações e conclusão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A compilação depende das includes, da release e do RPO usados na avaliação.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 filtro cExprFilTop da mBrowse deve ser validado no ambiente relacional TopConnect/DBAccess; em DBF puro pode exigir DbSetFilter ou escopo equivalente.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DBFs e XNU nativos devem ser gerados pelo Protheus, e não fabricados fora do ambiente.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O AppServer precisa de permissão para gravar o log em \logs\ ou no StartPath.</w:t>
      </w:r>
    </w:p>
    <w:p>
      <w:r>
        <w:rPr>
          <w:rFonts w:ascii="Calibri" w:hAnsi="Calibri"/>
          <w:color w:val="1F2937"/>
        </w:rPr>
        <w:t>A solução cobre o núcleo mínimo e os diferenciais descritos na rubrica. Após a compilação, a configuração do dicionário e a execução do roteiro de testes, o projeto estará pronto para receber as evidências reais e ser entregue.</w:t>
      </w:r>
    </w:p>
    <w:p>
      <w:pPr>
        <w:pStyle w:val="Heading1"/>
        <w:keepNext/>
      </w:pPr>
      <w:r>
        <w:t>Referências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TCC - Controle de Não Conformidades ISO 9001, revisão 2.0.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Rubrica de validação do TCC, revisão 1.0.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Materiais dos módulos 8 e 9 da Jornada DEV START.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0"/>
        <w:sz w:val="18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470"/>
        <w:sz w:val="18"/>
      </w:rPr>
      <w:t>Jornada DEV START | Controle ISO 9001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 - Controle de Não Conformidades ISO 9001</dc:title>
  <dc:subject>Projeto final Harbour/ADVPL no TOTVS Protheus</dc:subject>
  <dc:creator>Higor Fequer Lima</dc:creator>
  <cp:keywords>ADVPL, Protheus, ISO 9001, ZZ1, ZZ2</cp:keywords>
  <dc:description>Documento técnico do TCC Jornada DEV START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