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</w:pPr>
      <w:r>
        <w:rPr>
          <w:b/>
          <w:bCs/>
          <w:color w:val="D9534F"/>
          <w:spacing w:val="20"/>
          <w:sz w:val="20"/>
          <w:szCs w:val="20"/>
        </w:rPr>
        <w:t xml:space="preserve">BUSINESS OVERVIEW</w:t>
      </w:r>
    </w:p>
    <w:p>
      <w:pPr>
        <w:spacing w:after="160"/>
      </w:pPr>
      <w:r>
        <w:rPr>
          <w:b/>
          <w:bCs/>
          <w:color w:val="1E3A5F"/>
          <w:sz w:val="56"/>
          <w:szCs w:val="56"/>
        </w:rPr>
        <w:t xml:space="preserve">VulnScan Toolkit</w:t>
      </w:r>
    </w:p>
    <w:p>
      <w:pPr>
        <w:spacing w:after="1200"/>
      </w:pPr>
      <w:r>
        <w:rPr>
          <w:color w:val="555555"/>
          <w:sz w:val="26"/>
          <w:szCs w:val="26"/>
        </w:rPr>
        <w:t xml:space="preserve">Faster, Consistent, Auditable Web Vulnerability Assessments</w:t>
      </w:r>
    </w:p>
    <w:p>
      <w:pPr>
        <w:pBdr>
          <w:top w:val="single" w:color="DDDDDD" w:sz="6" w:space="8"/>
        </w:pBdr>
        <w:spacing w:before="100"/>
      </w:pPr>
    </w:p>
    <w:p>
      <w:pPr>
        <w:spacing w:before="40"/>
      </w:pPr>
      <w:r>
        <w:rPr>
          <w:color w:val="888888"/>
          <w:sz w:val="19"/>
          <w:szCs w:val="19"/>
        </w:rPr>
        <w:t xml:space="preserve">Innovation Project Proposal  -  July 2026  -  CIESC</w:t>
      </w:r>
    </w:p>
    <w:p>
      <w:pPr>
        <w:spacing w:before="40"/>
      </w:pPr>
      <w:r>
        <w:rPr>
          <w:color w:val="888888"/>
          <w:sz w:val="19"/>
          <w:szCs w:val="19"/>
        </w:rPr>
        <w:t xml:space="preserve">Prepared by: Higor Silva</w:t>
      </w:r>
    </w:p>
    <w:p>
      <w:r>
        <w:br w:type="page"/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1. The Problem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Web application security assessments today rely on running several independent open-source tools by hand — one for SQL injection, another for cross-site scripting, another for general misconfiguration checks. Each tool has its own command syntax, output format, and severity scale. Analysts spend a disproportionate share of their time on manual, repetitive work: launching tools one at a time, waiting on results, translating inconsistent output into a shared vocabulary, and manually assembling a report before any finding reaches a decision-maker.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This creates three recurring costs for the organization: slower turnaround on security assessments, inconsistent report quality depending on which analyst ran the scan, and a real risk of misconfigured or unauthorized scans being run against the wrong target.</w:t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2. The Solution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VulnScan Toolkit is a single, containerized command that orchestrates multiple industry-standard open-source scanners (sqlmap, OWASP ZAP, Nikto, Nuclei) and automatically produces one consolidated, professional report — in HTML and PDF — with an executive summary, criticality scoring aligned to the industry-standard CVSS framework, technical evidence for each finding, and concrete mitigation guidance.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Instead of an analyst running four tools and writing a report by hand, one command produces a standardized deliverable in a fraction of the time, every time.</w:t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3. Key Benefits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Benefit</w:t>
            </w:r>
          </w:p>
        </w:tc>
        <w:tc>
          <w:tcPr>
            <w:tcW w:type="dxa" w:w="6499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rPr>
          <w:tblHeader w:val="false"/>
        </w:trPr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Time savings</w:t>
            </w:r>
          </w:p>
        </w:tc>
        <w:tc>
          <w:tcPr>
            <w:tcW w:type="dxa" w:w="64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Replaces hours of manual tool execution and report assembly with a single automated run</w:t>
            </w:r>
          </w:p>
        </w:tc>
      </w:tr>
      <w:tr>
        <w:trPr>
          <w:tblHeader w:val="false"/>
        </w:trPr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Consistency</w:t>
            </w:r>
          </w:p>
        </w:tc>
        <w:tc>
          <w:tcPr>
            <w:tcW w:type="dxa" w:w="64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Every report follows the same structure and severity scale, regardless of who runs the scan</w:t>
            </w:r>
          </w:p>
        </w:tc>
      </w:tr>
      <w:tr>
        <w:trPr>
          <w:tblHeader w:val="false"/>
        </w:trPr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Built-in guardrails</w:t>
            </w:r>
          </w:p>
        </w:tc>
        <w:tc>
          <w:tcPr>
            <w:tcW w:type="dxa" w:w="64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 allowlist-based scope control blocks scans against unauthorized targets by design</w:t>
            </w:r>
          </w:p>
        </w:tc>
      </w:tr>
      <w:tr>
        <w:trPr>
          <w:tblHeader w:val="false"/>
        </w:trPr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Zero licensing cost</w:t>
            </w:r>
          </w:p>
        </w:tc>
        <w:tc>
          <w:tcPr>
            <w:tcW w:type="dxa" w:w="64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Built entirely on established, actively-maintained open-source tools - no per-seat or per-scan licensing fees</w:t>
            </w:r>
          </w:p>
        </w:tc>
      </w:tr>
      <w:tr>
        <w:trPr>
          <w:tblHeader w:val="false"/>
        </w:trPr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Portable &amp; isolated</w:t>
            </w:r>
          </w:p>
        </w:tc>
        <w:tc>
          <w:tcPr>
            <w:tcW w:type="dxa" w:w="64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Ships as a Docker container; runs identically on any machine without conflicting with existing tools (e.g. Kali Linux)</w:t>
            </w:r>
          </w:p>
        </w:tc>
      </w:tr>
      <w:tr>
        <w:trPr>
          <w:tblHeader w:val="false"/>
        </w:trPr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Extensible</w:t>
            </w:r>
          </w:p>
        </w:tc>
        <w:tc>
          <w:tcPr>
            <w:tcW w:type="dxa" w:w="64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Modular design - new vulnerability classes/tools can be added without reworking the core system</w:t>
            </w:r>
          </w:p>
        </w:tc>
      </w:tr>
    </w:tbl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4. Who Benefits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Security / IT teams - faster assessment cycles, more time for deep manual analysis instead of tool babysitting.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Management - a standardized, board-ready report format with an executive summary that does not require technical background to interpret at a high level.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Development teams - clear, actionable mitigation recommendations tied to specific endpoints and parameters, reducing back-and-forth on vague findings.</w:t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5. Positioning vs. Alternatives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2527"/>
        <w:gridCol w:w="2166"/>
        <w:gridCol w:w="1805"/>
      </w:tblGrid>
      <w:tr>
        <w:trPr>
          <w:tblHeader/>
        </w:trPr>
        <w:tc>
          <w:tcPr>
            <w:tcW w:type="dxa" w:w="2527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2527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2166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Consistency</w:t>
            </w:r>
          </w:p>
        </w:tc>
        <w:tc>
          <w:tcPr>
            <w:tcW w:type="dxa" w:w="1805"/>
            <w:shd w:fill="1E3A5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Speed</w:t>
            </w:r>
          </w:p>
        </w:tc>
      </w:tr>
      <w:tr>
        <w:trPr>
          <w:tblHeader w:val="false"/>
        </w:trPr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Manual multi-tool scanning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Analyst time only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Low - depends on the individual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Slow</w:t>
            </w:r>
          </w:p>
        </w:tc>
      </w:tr>
      <w:tr>
        <w:trPr>
          <w:tblHeader w:val="false"/>
        </w:trPr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Commercial DAST platforms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High licensing cost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High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Fast</w:t>
            </w:r>
          </w:p>
        </w:tc>
      </w:tr>
      <w:tr>
        <w:trPr>
          <w:tblHeader w:val="false"/>
        </w:trPr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VulnScan Toolkit</w:t>
            </w:r>
          </w:p>
        </w:tc>
        <w:tc>
          <w:tcPr>
            <w:tcW w:type="dxa" w:w="25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 licensing cost (open-source stack)</w:t>
            </w:r>
          </w:p>
        </w:tc>
        <w:tc>
          <w:tcPr>
            <w:tcW w:type="dxa" w:w="216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High - standardized pipeline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Fast</w:t>
            </w:r>
          </w:p>
        </w:tc>
      </w:tr>
    </w:tbl>
    <w:p>
      <w:pPr>
        <w:spacing w:after="100" w:before="60"/>
        <w:jc w:val="both"/>
      </w:pPr>
      <w:r>
        <w:rPr>
          <w:sz w:val="21"/>
          <w:szCs w:val="21"/>
        </w:rPr>
        <w:t xml:space="preserve">VulnScan Toolkit targets the middle ground: the consistency and speed benefits typically associated with commercial platforms, built on a zero-license-cost open-source foundation, tailored to the organization's own scope and workflow.</w:t>
      </w:r>
    </w:p>
    <w:p>
      <w:pPr>
        <w:pStyle w:val="Heading1"/>
        <w:pBdr>
          <w:bottom w:val="single" w:color="1E3A5F" w:sz="12" w:space="4"/>
        </w:pBdr>
        <w:spacing w:after="140" w:before="320"/>
      </w:pPr>
      <w:r>
        <w:t xml:space="preserve">6. Current Status &amp; Next Steps</w:t>
      </w:r>
    </w:p>
    <w:p>
      <w:pPr>
        <w:spacing w:after="100" w:before="60"/>
        <w:jc w:val="both"/>
      </w:pPr>
      <w:r>
        <w:rPr>
          <w:sz w:val="21"/>
          <w:szCs w:val="21"/>
        </w:rPr>
        <w:t xml:space="preserve">The core system (orchestrator, normalized data model, report engine) and four scanning modules covering reconnaissance, SQL Injection, XSS, and XXE are implemented as a working MVP. The roadmap ahead focuses on parallelizing scans for speed, expanding module coverage, and refining the report for broader stakeholder consumption (including a non-technical summary view and visual severity charts).</w:t>
      </w:r>
    </w:p>
    <w:p>
      <w:pPr>
        <w:pBdr>
          <w:left w:val="single" w:color="1E3A5F" w:sz="24" w:space="8"/>
        </w:pBdr>
        <w:shd w:fill="EEF4FA" w:val="clear"/>
        <w:spacing w:after="160" w:before="100"/>
        <w:ind w:left="100"/>
      </w:pPr>
      <w:r>
        <w:rPr>
          <w:sz w:val="20"/>
          <w:szCs w:val="20"/>
        </w:rPr>
        <w:t xml:space="preserve">This project is presented as an internal innovation initiative: a practical demonstration of how existing open-source security tooling can be consolidated into an efficient, reusable internal capability, at no licensing cost, with security and authorization controls built in from day one.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VulnScan Toolkit - Business Overview - Internal /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2026-07-14T15:33:43.759Z</dcterms:created>
  <dcterms:modified xsi:type="dcterms:W3CDTF">2026-07-14T15:33:43.759Z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