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D9534F"/>
          <w:spacing w:val="20"/>
          <w:sz w:val="20"/>
          <w:szCs w:val="20"/>
        </w:rPr>
        <w:t xml:space="preserve">DOCUMENTAÇÃO TÉCNICA</w:t>
      </w:r>
    </w:p>
    <w:p>
      <w:pPr>
        <w:spacing w:after="160"/>
      </w:pPr>
      <w:r>
        <w:rPr>
          <w:b/>
          <w:bCs/>
          <w:color w:val="1E3A5F"/>
          <w:sz w:val="56"/>
          <w:szCs w:val="56"/>
        </w:rPr>
        <w:t xml:space="preserve">VulnScan Toolkit</w:t>
      </w:r>
    </w:p>
    <w:p>
      <w:pPr>
        <w:spacing w:after="1200"/>
      </w:pPr>
      <w:r>
        <w:rPr>
          <w:color w:val="555555"/>
          <w:sz w:val="26"/>
          <w:szCs w:val="26"/>
        </w:rPr>
        <w:t xml:space="preserve">Orquestrador Modular de Varredura de Vulnerabilidades Web</w:t>
      </w:r>
    </w:p>
    <w:p>
      <w:pPr>
        <w:pBdr>
          <w:top w:val="single" w:color="DDDDDD" w:sz="6" w:space="8"/>
        </w:pBdr>
        <w:spacing w:before="100"/>
      </w:pPr>
    </w:p>
    <w:p>
      <w:pPr>
        <w:spacing w:before="40"/>
      </w:pPr>
      <w:r>
        <w:rPr>
          <w:color w:val="888888"/>
          <w:sz w:val="19"/>
          <w:szCs w:val="19"/>
        </w:rPr>
        <w:t xml:space="preserve">Versão 0.1 (MVP)  -  Julho de 2026  -  CIESC / Projeto de Inovação</w:t>
      </w:r>
    </w:p>
    <w:p>
      <w:pPr>
        <w:spacing w:before="40"/>
      </w:pPr>
      <w:r>
        <w:rPr>
          <w:color w:val="888888"/>
          <w:sz w:val="19"/>
          <w:szCs w:val="19"/>
        </w:rPr>
        <w:t xml:space="preserve">Autor: Higor Silva</w:t>
      </w:r>
    </w:p>
    <w:p>
      <w:r>
        <w:br w:type="page"/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1. Visão Geral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O VulnScan Toolkit é um orquestrador modular e conteinerizado que automatiza a varredura de vulnerabilidades em aplicações web, integrando ferramentas de segurança open-source consolidadas (sqlmap, OWASP ZAP, Nikto, Nuclei) sob uma única interface de linha de comando. Ele normaliza a saída de cada ferramenta em um modelo de dados comum e gera um relatório consolidado e profissional (HTML e PDF) contendo sumário executivo, criticidade baseada em CVSS, detalhamento técnico e recomendações de mitigação.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O objetivo não é reinventar motores de varredura de vulnerabilidades, mas eliminar a fricção operacional de rodar múltiplas ferramentas desconexas manualmente, reconciliar formatos de saída inconsistentes e montar um relatório à mão para as partes interessadas.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2. Arquitetura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O sistema é organizado em quatro camadas desacopladas: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4332"/>
        <w:gridCol w:w="2527"/>
      </w:tblGrid>
      <w:tr>
        <w:trPr>
          <w:tblHeader/>
        </w:trPr>
        <w:tc>
          <w:tcPr>
            <w:tcW w:type="dxa" w:w="2166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4332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2527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</w:tr>
      <w:tr>
        <w:trPr>
          <w:tblHeader w:val="false"/>
        </w:trPr>
        <w:tc>
          <w:tcPr>
            <w:tcW w:type="dxa" w:w="21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 / Ponto de entrada</w:t>
            </w:r>
          </w:p>
        </w:tc>
        <w:tc>
          <w:tcPr>
            <w:tcW w:type="dxa" w:w="433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Parsing de argumentos, confirmação de autorização, inicialização da execução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src/main.py</w:t>
            </w:r>
          </w:p>
        </w:tc>
      </w:tr>
      <w:tr>
        <w:trPr>
          <w:tblHeader w:val="false"/>
        </w:trPr>
        <w:tc>
          <w:tcPr>
            <w:tcW w:type="dxa" w:w="21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Núcleo (Core)</w:t>
            </w:r>
          </w:p>
        </w:tc>
        <w:tc>
          <w:tcPr>
            <w:tcW w:type="dxa" w:w="433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Controle de escopo, orquestração, modelo normalizado Finding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src/core/</w:t>
            </w:r>
          </w:p>
        </w:tc>
      </w:tr>
      <w:tr>
        <w:trPr>
          <w:tblHeader w:val="false"/>
        </w:trPr>
        <w:tc>
          <w:tcPr>
            <w:tcW w:type="dxa" w:w="21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Módulos de Varredura</w:t>
            </w:r>
          </w:p>
        </w:tc>
        <w:tc>
          <w:tcPr>
            <w:tcW w:type="dxa" w:w="433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Adaptadores que invocam ferramentas externas e normalizam sua saída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src/modules/</w:t>
            </w:r>
          </w:p>
        </w:tc>
      </w:tr>
      <w:tr>
        <w:trPr>
          <w:tblHeader w:val="false"/>
        </w:trPr>
        <w:tc>
          <w:tcPr>
            <w:tcW w:type="dxa" w:w="21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Motor de Relatórios</w:t>
            </w:r>
          </w:p>
        </w:tc>
        <w:tc>
          <w:tcPr>
            <w:tcW w:type="dxa" w:w="433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Agregação, estatísticas, renderização HTML/PDF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src/report/</w:t>
            </w:r>
          </w:p>
        </w:tc>
      </w:tr>
    </w:tbl>
    <w:p>
      <w:pPr>
        <w:spacing w:after="100"/>
      </w:pPr>
    </w:p>
    <w:p>
      <w:pPr>
        <w:spacing w:after="100" w:before="60"/>
        <w:jc w:val="both"/>
      </w:pPr>
      <w:r>
        <w:rPr>
          <w:sz w:val="21"/>
          <w:szCs w:val="21"/>
        </w:rPr>
        <w:t xml:space="preserve">O núcleo é propositalmente desacoplado de qualquer ferramenta de varredura específica. Todo módulo implementa o mesmo contrato (BaseScanModule.run() -&gt; list[Finding]), de forma que o orquestrador e o motor de relatórios nunca precisam saber qual ferramenta subjacente produziu um resultado. Adicionar, remover ou substituir uma ferramenta exige alterar apenas seu módulo e sua entrada no registro.</w:t>
      </w:r>
    </w:p>
    <w:p>
      <w:pPr>
        <w:pStyle w:val="Heading2"/>
        <w:spacing w:after="100" w:before="220"/>
      </w:pPr>
      <w:r>
        <w:t xml:space="preserve">2.1 Fluxo de dados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 usuário invoca a CLI informando URL alvo, perfil de varredura e a flag explícita de autorização.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 ScopeGuard verifica o alvo contra a allowlist em config/scope.yaml; a execução é abortada se o host não estiver autorizado.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 ScanOrchestrator resolve a lista de módulos (a partir do perfil ou de um override explícito via --modules) e executa cada módulo sequencialmente, capturando a saída bruta da ferramenta para fins de auditoria.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Cada módulo normaliza seus achados em objetos Finding (severidade, vetor/pontuação CVSS, endpoint, parâmetro, evidência, recomendação).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 ReportGenerator agrega todos os achados, calcula estatísticas de sumário e renderiza o template Jinja2 em HTML, convertendo opcionalmente para PDF via WeasyPrint.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3. Stack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527"/>
        <w:gridCol w:w="4513"/>
      </w:tblGrid>
      <w:tr>
        <w:trPr>
          <w:tblHeader/>
        </w:trPr>
        <w:tc>
          <w:tcPr>
            <w:tcW w:type="dxa" w:w="1986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527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Escolha</w:t>
            </w:r>
          </w:p>
        </w:tc>
        <w:tc>
          <w:tcPr>
            <w:tcW w:type="dxa" w:w="4513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Linguagem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Ecossistema maduro de subprocess/parsing; linguagem nativa da maioria das ferramentas ofensivas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PyYAML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Arquivos de escopo/parâmetros editáveis por humanos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Templating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Jinja2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Separação clara entre lógica do relatório e apresentação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Renderização PDF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WeasyPrint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Converte o mesmo HTML/CSS para PDF sem depender de binários externos como wkhtmltopdf</w:t>
            </w:r>
          </w:p>
        </w:tc>
      </w:tr>
      <w:tr>
        <w:trPr>
          <w:tblHeader w:val="false"/>
        </w:trPr>
        <w:tc>
          <w:tcPr>
            <w:tcW w:type="dxa" w:w="198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Conteinerização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Docker (debian:bookworm-slim)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Isola todas as dependências das ferramentas ofensivas do host (ex: Kali), evitando conflitos de bibliotecas</w:t>
            </w:r>
          </w:p>
        </w:tc>
      </w:tr>
    </w:tbl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4. Módulos de Varredura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2888"/>
        <w:gridCol w:w="2527"/>
        <w:gridCol w:w="2437"/>
      </w:tblGrid>
      <w:tr>
        <w:trPr>
          <w:tblHeader/>
        </w:trPr>
        <w:tc>
          <w:tcPr>
            <w:tcW w:type="dxa" w:w="1173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888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 de vulnerabilidade</w:t>
            </w:r>
          </w:p>
        </w:tc>
        <w:tc>
          <w:tcPr>
            <w:tcW w:type="dxa" w:w="2527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Ferramenta subjacente</w:t>
            </w:r>
          </w:p>
        </w:tc>
        <w:tc>
          <w:tcPr>
            <w:tcW w:type="dxa" w:w="2437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Integração</w:t>
            </w:r>
          </w:p>
        </w:tc>
      </w:tr>
      <w:tr>
        <w:trPr>
          <w:tblHeader w:val="false"/>
        </w:trPr>
        <w:tc>
          <w:tcPr>
            <w:tcW w:type="dxa" w:w="11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recon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Misconfiguração geral / exposição de informação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Nikto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CLI, saída JSON</w:t>
            </w:r>
          </w:p>
        </w:tc>
      </w:tr>
      <w:tr>
        <w:trPr>
          <w:tblHeader w:val="false"/>
        </w:trPr>
        <w:tc>
          <w:tcPr>
            <w:tcW w:type="dxa" w:w="11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sqli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sqlmap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 (--batch), parsing de stdout</w:t>
            </w:r>
          </w:p>
        </w:tc>
      </w:tr>
      <w:tr>
        <w:trPr>
          <w:tblHeader w:val="false"/>
        </w:trPr>
        <w:tc>
          <w:tcPr>
            <w:tcW w:type="dxa" w:w="11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xss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XSS Refletido / Armazenado / DOM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OWASP ZAP (baseline scan)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 (zap-baseline.py -J), parsing de alertas JSON</w:t>
            </w:r>
          </w:p>
        </w:tc>
      </w:tr>
      <w:tr>
        <w:trPr>
          <w:tblHeader w:val="false"/>
        </w:trPr>
        <w:tc>
          <w:tcPr>
            <w:tcW w:type="dxa" w:w="11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xxe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XML External Entity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Nuclei (tag xxe)</w:t>
            </w:r>
          </w:p>
        </w:tc>
        <w:tc>
          <w:tcPr>
            <w:tcW w:type="dxa" w:w="24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 (-jsonl), parsing de JSON linha a linha</w:t>
            </w:r>
          </w:p>
        </w:tc>
      </w:tr>
    </w:tbl>
    <w:p>
      <w:pPr>
        <w:spacing w:after="100"/>
      </w:pPr>
    </w:p>
    <w:p>
      <w:pPr>
        <w:spacing w:after="100" w:before="60"/>
        <w:jc w:val="both"/>
      </w:pPr>
      <w:r>
        <w:rPr>
          <w:sz w:val="21"/>
          <w:szCs w:val="21"/>
        </w:rPr>
        <w:t xml:space="preserve">Os perfis de varredura agrupam conjuntos de módulos para casos de uso comuns: quick executa recon + xss para uma passada rápida, full executa os quatro módulos, e custom permite seleção explícita de módulos via --modules.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5. Modelo Normalizado de Achado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Todo módulo retorna uma lista de objetos Finding (src/core/finding.py), o contrato único entre os módulos de varredura e o motor de relatórios:</w:t>
      </w:r>
    </w:p>
    <w:p>
      <w:pPr>
        <w:shd w:fill="F5F5F5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module, title, description, severity (enum),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cvss_vector, cvss_score, endpoint, parameter,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evidence, recommendation, references[], tool_source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A severidade usa um enum de cinco níveis (Crítica, Alta, Média, Baixa, Informativa), mapeado de forma consistente independentemente da taxonomia de severidade própria da ferramenta de origem (ex: níveis de risco do ZAP, tags de severidade do Nuclei).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6. Motor de Relatórios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O motor de relatórios (src/report/generator.py) executa três etapas: calcula estatísticas agregadas (contagem de achados por severidade, CVSS médio, módulos executados), ordena os achados por criticidade e renderiza report/templates/report.html.j2. O documento resultante contém quatro seções: Sumário Executivo, Visão de Criticidade (distribuição visual por severidade), Detalhamento Técnico (endpoint, parâmetro, evidência e CVSS por achado) e Recomendações de Mitigação. O HTML é sempre gerado; o PDF é gerado sob demanda via WeasyPrint, usando o mesmo HTML/CSS para manter os dois formatos visualmente consistentes.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7. Controles de Segurança</w:t>
      </w:r>
    </w:p>
    <w:p>
      <w:pPr>
        <w:pBdr>
          <w:left w:val="single" w:color="D9534F" w:sz="24" w:space="8"/>
        </w:pBdr>
        <w:shd w:fill="FDF3EC" w:val="clear"/>
        <w:spacing w:after="160" w:before="100"/>
        <w:ind w:left="100"/>
      </w:pPr>
      <w:r>
        <w:rPr>
          <w:sz w:val="20"/>
          <w:szCs w:val="20"/>
        </w:rPr>
        <w:t xml:space="preserve">O controle de escopo é obrigatório, não opcional. O ScopeGuard lê uma allowlist de hosts autorizados (config/scope.yaml, com suporte a padrões wildcard) e recusa executar qualquer módulo contra um alvo que não esteja listado. Além disso, a CLI exige a flag explícita --i-have-authorization antes de qualquer varredura, como um ponto de fricção deliberado contra uso indevido acidental.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Toda a saída bruta das ferramentas (stdout/stderr/JSON) é preservada por execução em reports/&lt;run_id&gt;/&lt;módulo&gt;/ para fins de rastreabilidade e auditoria.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8. Deploy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A ferramenta é distribuída como uma única imagem Docker construída a partir do Dockerfile fornecido, instalando sqlmap e Nikto via apt, Nuclei via go install, e o script baseline do OWASP ZAP a partir do pacote oficial de release. O docker-compose.yml monta ./reports e ./config como volumes para que a saída dos scans e a configuração persistam fora do container.</w:t>
      </w:r>
    </w:p>
    <w:p>
      <w:pPr>
        <w:shd w:fill="F5F5F5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docker compose build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docker compose run --rm vulnscan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--target https://app-teste.local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--profile full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--format both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--i-have-authorization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9. Limitações Conhecidas (MVP)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Os módulos executam sequencialmente; ainda não há paralelização (planejada para um sprint futuro).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A saída do sqlmap é parseada via regex sobre o stdout; uma iteração futura consumirá diretamente a saída estruturada do sqlmap para maior robustez.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Não há histórico/banco de dados persistente de varreduras; cada execução é um diretório independente em reports/.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Não há suporte a varredura autenticada (fluxos de login) no conjunto atual de módulos.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VulnScan Toolkit - Documentação Técnica - Uso Interno /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2026-07-14T15:33:43.651Z</dcterms:created>
  <dcterms:modified xsi:type="dcterms:W3CDTF">2026-07-14T15:33:43.651Z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