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</w:pPr>
      <w:r>
        <w:rPr>
          <w:b/>
          <w:bCs/>
          <w:color w:val="D9534F"/>
          <w:spacing w:val="20"/>
          <w:sz w:val="20"/>
          <w:szCs w:val="20"/>
        </w:rPr>
        <w:t xml:space="preserve">VISÃO COMERCIAL</w:t>
      </w:r>
    </w:p>
    <w:p>
      <w:pPr>
        <w:spacing w:after="160"/>
      </w:pPr>
      <w:r>
        <w:rPr>
          <w:b/>
          <w:bCs/>
          <w:color w:val="1E3A5F"/>
          <w:sz w:val="56"/>
          <w:szCs w:val="56"/>
        </w:rPr>
        <w:t xml:space="preserve">VulnScan Toolkit</w:t>
      </w:r>
    </w:p>
    <w:p>
      <w:pPr>
        <w:spacing w:after="1200"/>
      </w:pPr>
      <w:r>
        <w:rPr>
          <w:color w:val="555555"/>
          <w:sz w:val="26"/>
          <w:szCs w:val="26"/>
        </w:rPr>
        <w:t xml:space="preserve">Avaliações de Vulnerabilidade Web Mais Rápidas, Consistentes e Auditáveis</w:t>
      </w:r>
    </w:p>
    <w:p>
      <w:pPr>
        <w:pBdr>
          <w:top w:val="single" w:color="DDDDDD" w:sz="6" w:space="8"/>
        </w:pBdr>
        <w:spacing w:before="100"/>
      </w:pPr>
    </w:p>
    <w:p>
      <w:pPr>
        <w:spacing w:before="40"/>
      </w:pPr>
      <w:r>
        <w:rPr>
          <w:color w:val="888888"/>
          <w:sz w:val="19"/>
          <w:szCs w:val="19"/>
        </w:rPr>
        <w:t xml:space="preserve">Proposta de Projeto de Inovação  -  Julho de 2026  -  CIESC</w:t>
      </w:r>
    </w:p>
    <w:p>
      <w:pPr>
        <w:spacing w:before="40"/>
      </w:pPr>
      <w:r>
        <w:rPr>
          <w:color w:val="888888"/>
          <w:sz w:val="19"/>
          <w:szCs w:val="19"/>
        </w:rPr>
        <w:t xml:space="preserve">Elaborado por: Higor Silva</w:t>
      </w:r>
    </w:p>
    <w:p>
      <w:r>
        <w:br w:type="page"/>
      </w:r>
    </w:p>
    <w:p>
      <w:pPr>
        <w:pStyle w:val="Heading1"/>
        <w:pBdr>
          <w:bottom w:val="single" w:color="1E3A5F" w:sz="12" w:space="4"/>
        </w:pBdr>
        <w:spacing w:after="140" w:before="320"/>
      </w:pPr>
      <w:r>
        <w:t xml:space="preserve">1. O Problema</w:t>
      </w:r>
    </w:p>
    <w:p>
      <w:pPr>
        <w:spacing w:after="100" w:before="60"/>
        <w:jc w:val="both"/>
      </w:pPr>
      <w:r>
        <w:rPr>
          <w:sz w:val="21"/>
          <w:szCs w:val="21"/>
        </w:rPr>
        <w:t xml:space="preserve">Hoje, as avaliações de segurança de aplicações web dependem de rodar manualmente diversas ferramentas open-source independentes — uma para SQL Injection, outra para Cross-Site Scripting, outra para checagens gerais de misconfiguração. Cada ferramenta tem sua própria sintaxe de comando, formato de saída e escala de severidade. Analistas gastam uma parcela desproporcional do tempo em trabalho manual e repetitivo: disparar ferramentas uma a uma, esperar resultados, traduzir saídas inconsistentes para um vocabulário comum e montar manualmente um relatório antes que qualquer achado chegue a um tomador de decisão.</w:t>
      </w:r>
    </w:p>
    <w:p>
      <w:pPr>
        <w:spacing w:after="100" w:before="60"/>
        <w:jc w:val="both"/>
      </w:pPr>
      <w:r>
        <w:rPr>
          <w:sz w:val="21"/>
          <w:szCs w:val="21"/>
        </w:rPr>
        <w:t xml:space="preserve">Isso gera três custos recorrentes para a organização: prazos mais longos nas avaliações de segurança, qualidade de relatório inconsistente dependendo de qual analista executou o scan, e um risco real de scans mal configurados ou não autorizados serem executados contra o alvo errado.</w:t>
      </w:r>
    </w:p>
    <w:p>
      <w:pPr>
        <w:pStyle w:val="Heading1"/>
        <w:pBdr>
          <w:bottom w:val="single" w:color="1E3A5F" w:sz="12" w:space="4"/>
        </w:pBdr>
        <w:spacing w:after="140" w:before="320"/>
      </w:pPr>
      <w:r>
        <w:t xml:space="preserve">2. A Solução</w:t>
      </w:r>
    </w:p>
    <w:p>
      <w:pPr>
        <w:spacing w:after="100" w:before="60"/>
        <w:jc w:val="both"/>
      </w:pPr>
      <w:r>
        <w:rPr>
          <w:sz w:val="21"/>
          <w:szCs w:val="21"/>
        </w:rPr>
        <w:t xml:space="preserve">O VulnScan Toolkit é um único comando conteinerizado que orquestra múltiplos scanners open-source consagrados no mercado (sqlmap, OWASP ZAP, Nikto, Nuclei) e produz automaticamente um relatório consolidado e profissional — em HTML e PDF — com sumário executivo, pontuação de criticidade alinhada ao framework padrão de mercado CVSS, evidência técnica para cada achado e recomendações concretas de mitigação.</w:t>
      </w:r>
    </w:p>
    <w:p>
      <w:pPr>
        <w:spacing w:after="100" w:before="60"/>
        <w:jc w:val="both"/>
      </w:pPr>
      <w:r>
        <w:rPr>
          <w:sz w:val="21"/>
          <w:szCs w:val="21"/>
        </w:rPr>
        <w:t xml:space="preserve">Em vez de um analista rodar quatro ferramentas e escrever um relatório à mão, um único comando produz um entregável padronizado em uma fração do tempo, sempre da mesma forma.</w:t>
      </w:r>
    </w:p>
    <w:p>
      <w:pPr>
        <w:pStyle w:val="Heading1"/>
        <w:pBdr>
          <w:bottom w:val="single" w:color="1E3A5F" w:sz="12" w:space="4"/>
        </w:pBdr>
        <w:spacing w:after="140" w:before="320"/>
      </w:pPr>
      <w:r>
        <w:t xml:space="preserve">3. Principais Benefícios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shd w:fill="1E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Benefício</w:t>
            </w:r>
          </w:p>
        </w:tc>
        <w:tc>
          <w:tcPr>
            <w:tcW w:type="dxa" w:w="6318"/>
            <w:shd w:fill="1E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</w:tr>
      <w:tr>
        <w:trPr>
          <w:tblHeader w:val="false"/>
        </w:trPr>
        <w:tc>
          <w:tcPr>
            <w:tcW w:type="dxa" w:w="27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Economia de tempo</w:t>
            </w:r>
          </w:p>
        </w:tc>
        <w:tc>
          <w:tcPr>
            <w:tcW w:type="dxa" w:w="631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Substitui horas de execução manual de ferramentas e montagem de relatório por uma única execução automatizada</w:t>
            </w:r>
          </w:p>
        </w:tc>
      </w:tr>
      <w:tr>
        <w:trPr>
          <w:tblHeader w:val="false"/>
        </w:trPr>
        <w:tc>
          <w:tcPr>
            <w:tcW w:type="dxa" w:w="27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Consistência</w:t>
            </w:r>
          </w:p>
        </w:tc>
        <w:tc>
          <w:tcPr>
            <w:tcW w:type="dxa" w:w="631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Todo relatório segue a mesma estrutura e escala de severidade, independentemente de quem executa o scan</w:t>
            </w:r>
          </w:p>
        </w:tc>
      </w:tr>
      <w:tr>
        <w:trPr>
          <w:tblHeader w:val="false"/>
        </w:trPr>
        <w:tc>
          <w:tcPr>
            <w:tcW w:type="dxa" w:w="27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Travas de segurança embutidas</w:t>
            </w:r>
          </w:p>
        </w:tc>
        <w:tc>
          <w:tcPr>
            <w:tcW w:type="dxa" w:w="631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Controle de escopo baseado em allowlist bloqueia, por design, scans contra alvos não autorizados</w:t>
            </w:r>
          </w:p>
        </w:tc>
      </w:tr>
      <w:tr>
        <w:trPr>
          <w:tblHeader w:val="false"/>
        </w:trPr>
        <w:tc>
          <w:tcPr>
            <w:tcW w:type="dxa" w:w="27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Custo zero de licenciamento</w:t>
            </w:r>
          </w:p>
        </w:tc>
        <w:tc>
          <w:tcPr>
            <w:tcW w:type="dxa" w:w="631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Construído inteiramente sobre ferramentas open-source consolidadas e ativamente mantidas - sem custos por licença ou por scan</w:t>
            </w:r>
          </w:p>
        </w:tc>
      </w:tr>
      <w:tr>
        <w:trPr>
          <w:tblHeader w:val="false"/>
        </w:trPr>
        <w:tc>
          <w:tcPr>
            <w:tcW w:type="dxa" w:w="27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Portátil e isolado</w:t>
            </w:r>
          </w:p>
        </w:tc>
        <w:tc>
          <w:tcPr>
            <w:tcW w:type="dxa" w:w="631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Distribuído como container Docker; roda de forma idêntica em qualquer máquina sem conflitar com ferramentas já instaladas (ex: Kali Linux)</w:t>
            </w:r>
          </w:p>
        </w:tc>
      </w:tr>
      <w:tr>
        <w:trPr>
          <w:tblHeader w:val="false"/>
        </w:trPr>
        <w:tc>
          <w:tcPr>
            <w:tcW w:type="dxa" w:w="27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Extensível</w:t>
            </w:r>
          </w:p>
        </w:tc>
        <w:tc>
          <w:tcPr>
            <w:tcW w:type="dxa" w:w="631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Design modular - novas classes de vulnerabilidade/ferramentas podem ser adicionadas sem retrabalhar o núcleo do sistema</w:t>
            </w:r>
          </w:p>
        </w:tc>
      </w:tr>
    </w:tbl>
    <w:p>
      <w:pPr>
        <w:pStyle w:val="Heading1"/>
        <w:pBdr>
          <w:bottom w:val="single" w:color="1E3A5F" w:sz="12" w:space="4"/>
        </w:pBdr>
        <w:spacing w:after="140" w:before="320"/>
      </w:pPr>
      <w:r>
        <w:t xml:space="preserve">4. Quem se Beneficia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Equipes de segurança/TI - ciclos de avaliação mais rápidos, mais tempo para análise manual aprofundada em vez de operar ferramentas manualmente.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Gestão - um formato de relatório padronizado, apresentável à diretoria, com sumário executivo que não exige background técnico para interpretação em alto nível.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Equipes de desenvolvimento - recomendações de mitigação claras e acionáveis, associadas a endpoints e parâmetros específicos, reduzindo idas e vindas sobre achados vagos.</w:t>
      </w:r>
    </w:p>
    <w:p>
      <w:pPr>
        <w:pStyle w:val="Heading1"/>
        <w:pBdr>
          <w:bottom w:val="single" w:color="1E3A5F" w:sz="12" w:space="4"/>
        </w:pBdr>
        <w:spacing w:after="140" w:before="320"/>
      </w:pPr>
      <w:r>
        <w:t xml:space="preserve">5. Posicionamento vs. Alternativas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2527"/>
        <w:gridCol w:w="2166"/>
        <w:gridCol w:w="1625"/>
      </w:tblGrid>
      <w:tr>
        <w:trPr>
          <w:tblHeader/>
        </w:trPr>
        <w:tc>
          <w:tcPr>
            <w:tcW w:type="dxa" w:w="2708"/>
            <w:shd w:fill="1E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Abordagem</w:t>
            </w:r>
          </w:p>
        </w:tc>
        <w:tc>
          <w:tcPr>
            <w:tcW w:type="dxa" w:w="2527"/>
            <w:shd w:fill="1E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Custo</w:t>
            </w:r>
          </w:p>
        </w:tc>
        <w:tc>
          <w:tcPr>
            <w:tcW w:type="dxa" w:w="2166"/>
            <w:shd w:fill="1E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Consistência</w:t>
            </w:r>
          </w:p>
        </w:tc>
        <w:tc>
          <w:tcPr>
            <w:tcW w:type="dxa" w:w="1625"/>
            <w:shd w:fill="1E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Velocidade</w:t>
            </w:r>
          </w:p>
        </w:tc>
      </w:tr>
      <w:tr>
        <w:trPr>
          <w:tblHeader w:val="false"/>
        </w:trPr>
        <w:tc>
          <w:tcPr>
            <w:tcW w:type="dxa" w:w="27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Varredura manual com múltiplas ferramentas</w:t>
            </w:r>
          </w:p>
        </w:tc>
        <w:tc>
          <w:tcPr>
            <w:tcW w:type="dxa" w:w="252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Apenas tempo do analista</w:t>
            </w:r>
          </w:p>
        </w:tc>
        <w:tc>
          <w:tcPr>
            <w:tcW w:type="dxa" w:w="216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Baixa - depende do indivíduo</w:t>
            </w:r>
          </w:p>
        </w:tc>
        <w:tc>
          <w:tcPr>
            <w:tcW w:type="dxa" w:w="162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Lenta</w:t>
            </w:r>
          </w:p>
        </w:tc>
      </w:tr>
      <w:tr>
        <w:trPr>
          <w:tblHeader w:val="false"/>
        </w:trPr>
        <w:tc>
          <w:tcPr>
            <w:tcW w:type="dxa" w:w="27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Plataformas DAST comerciais</w:t>
            </w:r>
          </w:p>
        </w:tc>
        <w:tc>
          <w:tcPr>
            <w:tcW w:type="dxa" w:w="252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Alto custo de licenciamento</w:t>
            </w:r>
          </w:p>
        </w:tc>
        <w:tc>
          <w:tcPr>
            <w:tcW w:type="dxa" w:w="216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Alta</w:t>
            </w:r>
          </w:p>
        </w:tc>
        <w:tc>
          <w:tcPr>
            <w:tcW w:type="dxa" w:w="162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Rápida</w:t>
            </w:r>
          </w:p>
        </w:tc>
      </w:tr>
      <w:tr>
        <w:trPr>
          <w:tblHeader w:val="false"/>
        </w:trPr>
        <w:tc>
          <w:tcPr>
            <w:tcW w:type="dxa" w:w="27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VulnScan Toolkit</w:t>
            </w:r>
          </w:p>
        </w:tc>
        <w:tc>
          <w:tcPr>
            <w:tcW w:type="dxa" w:w="252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Sem custo de licenciamento (stack open-source)</w:t>
            </w:r>
          </w:p>
        </w:tc>
        <w:tc>
          <w:tcPr>
            <w:tcW w:type="dxa" w:w="216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Alta - pipeline padronizado</w:t>
            </w:r>
          </w:p>
        </w:tc>
        <w:tc>
          <w:tcPr>
            <w:tcW w:type="dxa" w:w="162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Rápida</w:t>
            </w:r>
          </w:p>
        </w:tc>
      </w:tr>
    </w:tbl>
    <w:p>
      <w:pPr>
        <w:spacing w:after="100" w:before="60"/>
        <w:jc w:val="both"/>
      </w:pPr>
      <w:r>
        <w:rPr>
          <w:sz w:val="21"/>
          <w:szCs w:val="21"/>
        </w:rPr>
        <w:t xml:space="preserve">O VulnScan Toolkit mira o meio-termo: os benefícios de consistência e velocidade tipicamente associados a plataformas comerciais, construídos sobre uma base open-source de custo zero de licenciamento, adaptada ao escopo e ao fluxo de trabalho da própria organização.</w:t>
      </w:r>
    </w:p>
    <w:p>
      <w:pPr>
        <w:pStyle w:val="Heading1"/>
        <w:pBdr>
          <w:bottom w:val="single" w:color="1E3A5F" w:sz="12" w:space="4"/>
        </w:pBdr>
        <w:spacing w:after="140" w:before="320"/>
      </w:pPr>
      <w:r>
        <w:t xml:space="preserve">6. Status Atual e Próximos Passos</w:t>
      </w:r>
    </w:p>
    <w:p>
      <w:pPr>
        <w:spacing w:after="100" w:before="60"/>
        <w:jc w:val="both"/>
      </w:pPr>
      <w:r>
        <w:rPr>
          <w:sz w:val="21"/>
          <w:szCs w:val="21"/>
        </w:rPr>
        <w:t xml:space="preserve">O núcleo do sistema (orquestrador, modelo de dados normalizado, motor de relatórios) e quatro módulos de varredura cobrindo reconhecimento, SQL Injection, XSS e XXE já estão implementados como um MVP funcional. O roadmap à frente foca em paralelizar as varreduras para ganho de velocidade, expandir a cobertura de módulos e refinar o relatório para consumo por um público mais amplo de stakeholders (incluindo uma visão de resumo não técnico e gráficos visuais de severidade).</w:t>
      </w:r>
    </w:p>
    <w:p>
      <w:pPr>
        <w:pBdr>
          <w:left w:val="single" w:color="1E3A5F" w:sz="24" w:space="8"/>
        </w:pBdr>
        <w:shd w:fill="EEF4FA" w:val="clear"/>
        <w:spacing w:after="160" w:before="100"/>
        <w:ind w:left="100"/>
      </w:pPr>
      <w:r>
        <w:rPr>
          <w:sz w:val="20"/>
          <w:szCs w:val="20"/>
        </w:rPr>
        <w:t xml:space="preserve">Este projeto é apresentado como uma iniciativa interna de inovação: uma demonstração prática de como ferramentas de segurança open-source já existentes podem ser consolidadas em uma capacidade interna eficiente e reutilizável, sem custo de licenciamento, com controles de segurança e autorização incorporados desde o primeiro dia.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VulnScan Toolkit - Visão Comercial - Uso Interno /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2026-07-14T15:33:43.863Z</dcterms:created>
  <dcterms:modified xsi:type="dcterms:W3CDTF">2026-07-14T15:33:43.864Z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