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31BB4" w14:textId="35ADEB77" w:rsidR="00917059" w:rsidRDefault="00917059" w:rsidP="00917059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F9705C">
        <w:rPr>
          <w:rFonts w:ascii="Times New Roman" w:hAnsi="Times New Roman" w:cs="Times New Roman"/>
          <w:color w:val="auto"/>
        </w:rPr>
        <w:t>Rezumat</w:t>
      </w:r>
    </w:p>
    <w:p w14:paraId="6C2F07A0" w14:textId="77777777" w:rsidR="00B86B96" w:rsidRPr="00B86B96" w:rsidRDefault="00B86B96" w:rsidP="00B86B96"/>
    <w:p w14:paraId="4A876275" w14:textId="35DA97F6" w:rsidR="00605164" w:rsidRDefault="001114EE" w:rsidP="00B86B96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Dintr-o perspectiv</w:t>
      </w:r>
      <w:r w:rsidR="00A358C6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înaltă</w:t>
      </w:r>
      <w:r w:rsidR="00A358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605164">
        <w:rPr>
          <w:rFonts w:ascii="Times New Roman" w:hAnsi="Times New Roman" w:cs="Times New Roman"/>
          <w:sz w:val="24"/>
          <w:szCs w:val="24"/>
        </w:rPr>
        <w:t>ceastă teză propune măsurarea anumitor metrici de perfomanță</w:t>
      </w:r>
      <w:r w:rsidR="004E3606">
        <w:rPr>
          <w:rFonts w:ascii="Times New Roman" w:hAnsi="Times New Roman" w:cs="Times New Roman"/>
          <w:sz w:val="24"/>
          <w:szCs w:val="24"/>
        </w:rPr>
        <w:t>,</w:t>
      </w:r>
      <w:r w:rsidR="00605164">
        <w:rPr>
          <w:rFonts w:ascii="Times New Roman" w:hAnsi="Times New Roman" w:cs="Times New Roman"/>
          <w:sz w:val="24"/>
          <w:szCs w:val="24"/>
        </w:rPr>
        <w:t xml:space="preserve"> </w:t>
      </w:r>
      <w:r w:rsidR="00B86B96">
        <w:rPr>
          <w:rFonts w:ascii="Times New Roman" w:hAnsi="Times New Roman" w:cs="Times New Roman"/>
          <w:sz w:val="24"/>
          <w:szCs w:val="24"/>
        </w:rPr>
        <w:t>a</w:t>
      </w:r>
      <w:r w:rsidR="00605164">
        <w:rPr>
          <w:rFonts w:ascii="Times New Roman" w:hAnsi="Times New Roman" w:cs="Times New Roman"/>
          <w:sz w:val="24"/>
          <w:szCs w:val="24"/>
        </w:rPr>
        <w:t xml:space="preserve"> două tehnici de scalare aplicat</w:t>
      </w:r>
      <w:r>
        <w:rPr>
          <w:rFonts w:ascii="Times New Roman" w:hAnsi="Times New Roman" w:cs="Times New Roman"/>
          <w:sz w:val="24"/>
          <w:szCs w:val="24"/>
        </w:rPr>
        <w:t>e</w:t>
      </w:r>
      <w:r w:rsidR="00605164">
        <w:rPr>
          <w:rFonts w:ascii="Times New Roman" w:hAnsi="Times New Roman" w:cs="Times New Roman"/>
          <w:sz w:val="24"/>
          <w:szCs w:val="24"/>
        </w:rPr>
        <w:t xml:space="preserve"> pe un microserviciu </w:t>
      </w:r>
      <w:r w:rsidR="00530184">
        <w:rPr>
          <w:rFonts w:ascii="Times New Roman" w:hAnsi="Times New Roman" w:cs="Times New Roman"/>
          <w:sz w:val="24"/>
          <w:szCs w:val="24"/>
        </w:rPr>
        <w:t xml:space="preserve">de planificare </w:t>
      </w:r>
      <w:r w:rsidR="00605164">
        <w:rPr>
          <w:rFonts w:ascii="Times New Roman" w:hAnsi="Times New Roman" w:cs="Times New Roman"/>
          <w:sz w:val="24"/>
          <w:szCs w:val="24"/>
        </w:rPr>
        <w:t>scris cu concepte de programare funcțională. Cele două tehnici propuse sunt scalarea horizontală, respectiv scalarea verticală.</w:t>
      </w:r>
      <w:r>
        <w:rPr>
          <w:rFonts w:ascii="Times New Roman" w:hAnsi="Times New Roman" w:cs="Times New Roman"/>
          <w:sz w:val="24"/>
          <w:szCs w:val="24"/>
        </w:rPr>
        <w:t xml:space="preserve"> Pe lângă technic</w:t>
      </w:r>
      <w:r w:rsidR="00FC3FAB">
        <w:rPr>
          <w:rFonts w:ascii="Times New Roman" w:hAnsi="Times New Roman" w:cs="Times New Roman"/>
          <w:sz w:val="24"/>
          <w:szCs w:val="24"/>
        </w:rPr>
        <w:t>ile enumerate</w:t>
      </w:r>
      <w:r w:rsidR="00A358C6">
        <w:rPr>
          <w:rFonts w:ascii="Times New Roman" w:hAnsi="Times New Roman" w:cs="Times New Roman"/>
          <w:sz w:val="24"/>
          <w:szCs w:val="24"/>
        </w:rPr>
        <w:t>,</w:t>
      </w:r>
      <w:r w:rsidR="00605164">
        <w:rPr>
          <w:rFonts w:ascii="Times New Roman" w:hAnsi="Times New Roman" w:cs="Times New Roman"/>
          <w:sz w:val="24"/>
          <w:szCs w:val="24"/>
        </w:rPr>
        <w:t xml:space="preserve"> în final se aduce în prim plan </w:t>
      </w:r>
      <w:r>
        <w:rPr>
          <w:rFonts w:ascii="Times New Roman" w:hAnsi="Times New Roman" w:cs="Times New Roman"/>
          <w:sz w:val="24"/>
          <w:szCs w:val="24"/>
        </w:rPr>
        <w:t>un caz hibrid</w:t>
      </w:r>
      <w:r w:rsidR="00605164">
        <w:rPr>
          <w:rFonts w:ascii="Times New Roman" w:hAnsi="Times New Roman" w:cs="Times New Roman"/>
          <w:sz w:val="24"/>
          <w:szCs w:val="24"/>
        </w:rPr>
        <w:t xml:space="preserve">, </w:t>
      </w:r>
      <w:r w:rsidR="00A358C6">
        <w:rPr>
          <w:rFonts w:ascii="Times New Roman" w:hAnsi="Times New Roman" w:cs="Times New Roman"/>
          <w:sz w:val="24"/>
          <w:szCs w:val="24"/>
        </w:rPr>
        <w:t xml:space="preserve">urmând ca aceasta să </w:t>
      </w:r>
      <w:r w:rsidR="00605164">
        <w:rPr>
          <w:rFonts w:ascii="Times New Roman" w:hAnsi="Times New Roman" w:cs="Times New Roman"/>
          <w:sz w:val="24"/>
          <w:szCs w:val="24"/>
        </w:rPr>
        <w:t>ofer</w:t>
      </w:r>
      <w:r w:rsidR="00A358C6">
        <w:rPr>
          <w:rFonts w:ascii="Times New Roman" w:hAnsi="Times New Roman" w:cs="Times New Roman"/>
          <w:sz w:val="24"/>
          <w:szCs w:val="24"/>
        </w:rPr>
        <w:t>e</w:t>
      </w:r>
      <w:r w:rsidR="00605164">
        <w:rPr>
          <w:rFonts w:ascii="Times New Roman" w:hAnsi="Times New Roman" w:cs="Times New Roman"/>
          <w:sz w:val="24"/>
          <w:szCs w:val="24"/>
        </w:rPr>
        <w:t xml:space="preserve"> cele mai bune rezultate. Scalarea horizontală, des numită scale-out, </w:t>
      </w:r>
      <w:r w:rsidR="008F5875">
        <w:rPr>
          <w:rFonts w:ascii="Times New Roman" w:hAnsi="Times New Roman" w:cs="Times New Roman"/>
          <w:sz w:val="24"/>
          <w:szCs w:val="24"/>
        </w:rPr>
        <w:t>constă în</w:t>
      </w:r>
      <w:r w:rsidR="00605164">
        <w:rPr>
          <w:rFonts w:ascii="Times New Roman" w:hAnsi="Times New Roman" w:cs="Times New Roman"/>
          <w:sz w:val="24"/>
          <w:szCs w:val="24"/>
        </w:rPr>
        <w:t xml:space="preserve"> replicarea nodurilor, un nod </w:t>
      </w:r>
      <w:r w:rsidR="008F5875">
        <w:rPr>
          <w:rFonts w:ascii="Times New Roman" w:hAnsi="Times New Roman" w:cs="Times New Roman"/>
          <w:sz w:val="24"/>
          <w:szCs w:val="24"/>
        </w:rPr>
        <w:t>fiind alcătuit</w:t>
      </w:r>
      <w:r w:rsidR="00605164">
        <w:rPr>
          <w:rFonts w:ascii="Times New Roman" w:hAnsi="Times New Roman" w:cs="Times New Roman"/>
          <w:sz w:val="24"/>
          <w:szCs w:val="24"/>
        </w:rPr>
        <w:t xml:space="preserve"> dintr-un microserviciu. Scalarea verticală, folosită </w:t>
      </w:r>
      <w:r>
        <w:rPr>
          <w:rFonts w:ascii="Times New Roman" w:hAnsi="Times New Roman" w:cs="Times New Roman"/>
          <w:sz w:val="24"/>
          <w:szCs w:val="24"/>
        </w:rPr>
        <w:t>a</w:t>
      </w:r>
      <w:r w:rsidR="00605164">
        <w:rPr>
          <w:rFonts w:ascii="Times New Roman" w:hAnsi="Times New Roman" w:cs="Times New Roman"/>
          <w:sz w:val="24"/>
          <w:szCs w:val="24"/>
        </w:rPr>
        <w:t xml:space="preserve">deseori ca scale-up, </w:t>
      </w:r>
      <w:r>
        <w:rPr>
          <w:rFonts w:ascii="Times New Roman" w:hAnsi="Times New Roman" w:cs="Times New Roman"/>
          <w:sz w:val="24"/>
          <w:szCs w:val="24"/>
        </w:rPr>
        <w:t xml:space="preserve">definește un singur nod al cărui număr de resurse este mărit. Testele de performanță se bazează pe </w:t>
      </w:r>
      <w:r w:rsidR="0048378F">
        <w:rPr>
          <w:rFonts w:ascii="Times New Roman" w:hAnsi="Times New Roman" w:cs="Times New Roman"/>
          <w:sz w:val="24"/>
          <w:szCs w:val="24"/>
        </w:rPr>
        <w:t>diverse</w:t>
      </w:r>
      <w:r>
        <w:rPr>
          <w:rFonts w:ascii="Times New Roman" w:hAnsi="Times New Roman" w:cs="Times New Roman"/>
          <w:sz w:val="24"/>
          <w:szCs w:val="24"/>
        </w:rPr>
        <w:t xml:space="preserve"> scenarii</w:t>
      </w:r>
      <w:r w:rsidR="008F5875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scalare</w:t>
      </w:r>
      <w:r w:rsidR="008F58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într-un context închis și alocat pe același ansamblu de resurse. De asemenea, cererile de POST pot diferi structural, dar ele presupun o complexitate egală.</w:t>
      </w:r>
    </w:p>
    <w:p w14:paraId="08334A15" w14:textId="126DCD78" w:rsidR="001114EE" w:rsidRDefault="001114EE" w:rsidP="00B86B96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Introducere</w:t>
      </w:r>
      <w:r w:rsidR="00FC3FA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prezintă cele două technici de scalare și contextul apariției lor. Se definesc </w:t>
      </w:r>
      <w:r w:rsidR="002400C1">
        <w:rPr>
          <w:rFonts w:ascii="Times New Roman" w:hAnsi="Times New Roman" w:cs="Times New Roman"/>
          <w:sz w:val="24"/>
          <w:szCs w:val="24"/>
        </w:rPr>
        <w:t xml:space="preserve">mai apoi </w:t>
      </w:r>
      <w:r w:rsidR="004E3606">
        <w:rPr>
          <w:rFonts w:ascii="Times New Roman" w:hAnsi="Times New Roman" w:cs="Times New Roman"/>
          <w:sz w:val="24"/>
          <w:szCs w:val="24"/>
        </w:rPr>
        <w:t xml:space="preserve">atât </w:t>
      </w:r>
      <w:r>
        <w:rPr>
          <w:rFonts w:ascii="Times New Roman" w:hAnsi="Times New Roman" w:cs="Times New Roman"/>
          <w:sz w:val="24"/>
          <w:szCs w:val="24"/>
        </w:rPr>
        <w:t>problemele acest</w:t>
      </w:r>
      <w:r w:rsidR="00FC3FAB">
        <w:rPr>
          <w:rFonts w:ascii="Times New Roman" w:hAnsi="Times New Roman" w:cs="Times New Roman"/>
          <w:sz w:val="24"/>
          <w:szCs w:val="24"/>
        </w:rPr>
        <w:t>ei</w:t>
      </w:r>
      <w:r>
        <w:rPr>
          <w:rFonts w:ascii="Times New Roman" w:hAnsi="Times New Roman" w:cs="Times New Roman"/>
          <w:sz w:val="24"/>
          <w:szCs w:val="24"/>
        </w:rPr>
        <w:t xml:space="preserve"> lucrări</w:t>
      </w:r>
      <w:r w:rsidR="004E3606">
        <w:rPr>
          <w:rFonts w:ascii="Times New Roman" w:hAnsi="Times New Roman" w:cs="Times New Roman"/>
          <w:sz w:val="24"/>
          <w:szCs w:val="24"/>
        </w:rPr>
        <w:t xml:space="preserve"> cât și </w:t>
      </w:r>
      <w:r w:rsidR="002400C1">
        <w:rPr>
          <w:rFonts w:ascii="Times New Roman" w:hAnsi="Times New Roman" w:cs="Times New Roman"/>
          <w:sz w:val="24"/>
          <w:szCs w:val="24"/>
        </w:rPr>
        <w:t>motivația.</w:t>
      </w:r>
    </w:p>
    <w:p w14:paraId="637BCFA9" w14:textId="490F62CC" w:rsidR="002400C1" w:rsidRDefault="002400C1" w:rsidP="00B86B96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secțiunea următoare se găsesc comparațiile cu alte lucrări. Aceste comparații sunt împărțite </w:t>
      </w:r>
      <w:r w:rsidR="004E3606">
        <w:rPr>
          <w:rFonts w:ascii="Times New Roman" w:hAnsi="Times New Roman" w:cs="Times New Roman"/>
          <w:sz w:val="24"/>
          <w:szCs w:val="24"/>
        </w:rPr>
        <w:t>în</w:t>
      </w:r>
      <w:r>
        <w:rPr>
          <w:rFonts w:ascii="Times New Roman" w:hAnsi="Times New Roman" w:cs="Times New Roman"/>
          <w:sz w:val="24"/>
          <w:szCs w:val="24"/>
        </w:rPr>
        <w:t xml:space="preserve"> două categorii, ele fiind comparațiile cu alte lucrări de dizertație </w:t>
      </w:r>
      <w:r w:rsidR="004E3606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 doctorat, respectiv cu alte articole științifice.</w:t>
      </w:r>
    </w:p>
    <w:p w14:paraId="46CB6F45" w14:textId="409AC038" w:rsidR="002400C1" w:rsidRDefault="002400C1" w:rsidP="00B86B96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Secțiunea de Context Tehnic prezintă technologiile și librăriile cu ajutorul cărora s-a realizat microserviciul. Printre acestea se enumără Scala, sbt, Play2, Akka, Cats, OR-Tools, Docker </w:t>
      </w:r>
      <w:r w:rsidR="004E3606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 Gatling.</w:t>
      </w:r>
    </w:p>
    <w:p w14:paraId="67E77F90" w14:textId="46D3257C" w:rsidR="002400C1" w:rsidRDefault="002400C1" w:rsidP="00B86B96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Implementarea conține subsecțiuni care </w:t>
      </w:r>
      <w:r w:rsidR="004E3606">
        <w:rPr>
          <w:rFonts w:ascii="Times New Roman" w:hAnsi="Times New Roman" w:cs="Times New Roman"/>
          <w:sz w:val="24"/>
          <w:szCs w:val="24"/>
        </w:rPr>
        <w:t>descriu</w:t>
      </w:r>
      <w:r>
        <w:rPr>
          <w:rFonts w:ascii="Times New Roman" w:hAnsi="Times New Roman" w:cs="Times New Roman"/>
          <w:sz w:val="24"/>
          <w:szCs w:val="24"/>
        </w:rPr>
        <w:t xml:space="preserve"> structura și logica microserviciului, </w:t>
      </w:r>
      <w:r w:rsidR="004E3606">
        <w:rPr>
          <w:rFonts w:ascii="Times New Roman" w:hAnsi="Times New Roman" w:cs="Times New Roman"/>
          <w:sz w:val="24"/>
          <w:szCs w:val="24"/>
        </w:rPr>
        <w:t>și definesc</w:t>
      </w:r>
      <w:r>
        <w:rPr>
          <w:rFonts w:ascii="Times New Roman" w:hAnsi="Times New Roman" w:cs="Times New Roman"/>
          <w:sz w:val="24"/>
          <w:szCs w:val="24"/>
        </w:rPr>
        <w:t xml:space="preserve"> scenariile</w:t>
      </w:r>
      <w:r w:rsidR="00530184">
        <w:rPr>
          <w:rFonts w:ascii="Times New Roman" w:hAnsi="Times New Roman" w:cs="Times New Roman"/>
          <w:sz w:val="24"/>
          <w:szCs w:val="24"/>
        </w:rPr>
        <w:t xml:space="preserve"> de scalare și de </w:t>
      </w:r>
      <w:r w:rsidR="004E3606">
        <w:rPr>
          <w:rFonts w:ascii="Times New Roman" w:hAnsi="Times New Roman" w:cs="Times New Roman"/>
          <w:sz w:val="24"/>
          <w:szCs w:val="24"/>
        </w:rPr>
        <w:t>cereri</w:t>
      </w:r>
      <w:r w:rsidR="00530184">
        <w:rPr>
          <w:rFonts w:ascii="Times New Roman" w:hAnsi="Times New Roman" w:cs="Times New Roman"/>
          <w:sz w:val="24"/>
          <w:szCs w:val="24"/>
        </w:rPr>
        <w:t xml:space="preserve">. Dintre acestea, în primul rând se </w:t>
      </w:r>
      <w:r w:rsidR="004E3606">
        <w:rPr>
          <w:rFonts w:ascii="Times New Roman" w:hAnsi="Times New Roman" w:cs="Times New Roman"/>
          <w:sz w:val="24"/>
          <w:szCs w:val="24"/>
        </w:rPr>
        <w:t>prezintă</w:t>
      </w:r>
      <w:r w:rsidR="00530184">
        <w:rPr>
          <w:rFonts w:ascii="Times New Roman" w:hAnsi="Times New Roman" w:cs="Times New Roman"/>
          <w:sz w:val="24"/>
          <w:szCs w:val="24"/>
        </w:rPr>
        <w:t xml:space="preserve"> logica microserviciului de planificare și c</w:t>
      </w:r>
      <w:r w:rsidR="00FC3FAB">
        <w:rPr>
          <w:rFonts w:ascii="Times New Roman" w:hAnsi="Times New Roman" w:cs="Times New Roman"/>
          <w:sz w:val="24"/>
          <w:szCs w:val="24"/>
        </w:rPr>
        <w:t xml:space="preserve">e caz de </w:t>
      </w:r>
      <w:r w:rsidR="004E3606">
        <w:rPr>
          <w:rFonts w:ascii="Times New Roman" w:hAnsi="Times New Roman" w:cs="Times New Roman"/>
          <w:sz w:val="24"/>
          <w:szCs w:val="24"/>
        </w:rPr>
        <w:t>utilizare</w:t>
      </w:r>
      <w:r w:rsidR="00FC3FAB">
        <w:rPr>
          <w:rFonts w:ascii="Times New Roman" w:hAnsi="Times New Roman" w:cs="Times New Roman"/>
          <w:sz w:val="24"/>
          <w:szCs w:val="24"/>
        </w:rPr>
        <w:t xml:space="preserve"> </w:t>
      </w:r>
      <w:r w:rsidR="00530184">
        <w:rPr>
          <w:rFonts w:ascii="Times New Roman" w:hAnsi="Times New Roman" w:cs="Times New Roman"/>
          <w:sz w:val="24"/>
          <w:szCs w:val="24"/>
        </w:rPr>
        <w:t xml:space="preserve">presupune ea. Se descrie contractul, APIul de intrare și </w:t>
      </w:r>
      <w:r w:rsidR="008F5875">
        <w:rPr>
          <w:rFonts w:ascii="Times New Roman" w:hAnsi="Times New Roman" w:cs="Times New Roman"/>
          <w:sz w:val="24"/>
          <w:szCs w:val="24"/>
        </w:rPr>
        <w:t xml:space="preserve">de </w:t>
      </w:r>
      <w:r w:rsidR="00530184">
        <w:rPr>
          <w:rFonts w:ascii="Times New Roman" w:hAnsi="Times New Roman" w:cs="Times New Roman"/>
          <w:sz w:val="24"/>
          <w:szCs w:val="24"/>
        </w:rPr>
        <w:t>ieșire</w:t>
      </w:r>
      <w:r w:rsidR="008F5875">
        <w:rPr>
          <w:rFonts w:ascii="Times New Roman" w:hAnsi="Times New Roman" w:cs="Times New Roman"/>
          <w:sz w:val="24"/>
          <w:szCs w:val="24"/>
        </w:rPr>
        <w:t>,</w:t>
      </w:r>
      <w:r w:rsidR="00530184">
        <w:rPr>
          <w:rFonts w:ascii="Times New Roman" w:hAnsi="Times New Roman" w:cs="Times New Roman"/>
          <w:sz w:val="24"/>
          <w:szCs w:val="24"/>
        </w:rPr>
        <w:t xml:space="preserve"> împreuna cu teste de validare, cele din urmă fiind </w:t>
      </w:r>
      <w:r w:rsidR="004E3606">
        <w:rPr>
          <w:rFonts w:ascii="Times New Roman" w:hAnsi="Times New Roman" w:cs="Times New Roman"/>
          <w:sz w:val="24"/>
          <w:szCs w:val="24"/>
        </w:rPr>
        <w:t>evidențiate</w:t>
      </w:r>
      <w:r w:rsidR="00530184">
        <w:rPr>
          <w:rFonts w:ascii="Times New Roman" w:hAnsi="Times New Roman" w:cs="Times New Roman"/>
          <w:sz w:val="24"/>
          <w:szCs w:val="24"/>
        </w:rPr>
        <w:t xml:space="preserve"> doar ca și exemple de funcționare. În următorul pas se </w:t>
      </w:r>
      <w:r w:rsidR="008F5875">
        <w:rPr>
          <w:rFonts w:ascii="Times New Roman" w:hAnsi="Times New Roman" w:cs="Times New Roman"/>
          <w:sz w:val="24"/>
          <w:szCs w:val="24"/>
        </w:rPr>
        <w:t>prezintă</w:t>
      </w:r>
      <w:r w:rsidR="00530184">
        <w:rPr>
          <w:rFonts w:ascii="Times New Roman" w:hAnsi="Times New Roman" w:cs="Times New Roman"/>
          <w:sz w:val="24"/>
          <w:szCs w:val="24"/>
        </w:rPr>
        <w:t xml:space="preserve"> arhitectura aplicației și se descriu componentele vitale pentru a permite o scalare verticală. Structura proiectului este adusă în discuție pentru a forma o perspectivă restrânsă asupra organizării codului și a fișierelor de configurație. După descrierea microserviciului, se aduce în prim plan scenariile de scalare și configurațiile de resurse, mai apoi scenariile de cereri.</w:t>
      </w:r>
    </w:p>
    <w:p w14:paraId="2B20C157" w14:textId="73070881" w:rsidR="00530184" w:rsidRDefault="00530184" w:rsidP="00B86B96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Secțiunea de rezultate </w:t>
      </w:r>
      <w:r w:rsidR="008F5875">
        <w:rPr>
          <w:rFonts w:ascii="Times New Roman" w:hAnsi="Times New Roman" w:cs="Times New Roman"/>
          <w:sz w:val="24"/>
          <w:szCs w:val="24"/>
        </w:rPr>
        <w:t>precizează</w:t>
      </w:r>
      <w:r>
        <w:rPr>
          <w:rFonts w:ascii="Times New Roman" w:hAnsi="Times New Roman" w:cs="Times New Roman"/>
          <w:sz w:val="24"/>
          <w:szCs w:val="24"/>
        </w:rPr>
        <w:t xml:space="preserve"> mai întâi procesul de testare și ce anume presupune ea</w:t>
      </w:r>
      <w:r w:rsidR="00A358C6">
        <w:rPr>
          <w:rFonts w:ascii="Times New Roman" w:hAnsi="Times New Roman" w:cs="Times New Roman"/>
          <w:sz w:val="24"/>
          <w:szCs w:val="24"/>
        </w:rPr>
        <w:t xml:space="preserve">, ulterior </w:t>
      </w:r>
      <w:r w:rsidR="008F5875">
        <w:rPr>
          <w:rFonts w:ascii="Times New Roman" w:hAnsi="Times New Roman" w:cs="Times New Roman"/>
          <w:sz w:val="24"/>
          <w:szCs w:val="24"/>
        </w:rPr>
        <w:t>definind</w:t>
      </w:r>
      <w:r w:rsidR="00A358C6">
        <w:rPr>
          <w:rFonts w:ascii="Times New Roman" w:hAnsi="Times New Roman" w:cs="Times New Roman"/>
          <w:sz w:val="24"/>
          <w:szCs w:val="24"/>
        </w:rPr>
        <w:t xml:space="preserve"> scenariile de teste, care includ combinațiile </w:t>
      </w:r>
      <w:r w:rsidR="008F5875">
        <w:rPr>
          <w:rFonts w:ascii="Times New Roman" w:hAnsi="Times New Roman" w:cs="Times New Roman"/>
          <w:sz w:val="24"/>
          <w:szCs w:val="24"/>
        </w:rPr>
        <w:t xml:space="preserve">scenarilor </w:t>
      </w:r>
      <w:r w:rsidR="00A358C6">
        <w:rPr>
          <w:rFonts w:ascii="Times New Roman" w:hAnsi="Times New Roman" w:cs="Times New Roman"/>
          <w:sz w:val="24"/>
          <w:szCs w:val="24"/>
        </w:rPr>
        <w:t>de scalare și</w:t>
      </w:r>
      <w:r w:rsidR="004E3606">
        <w:rPr>
          <w:rFonts w:ascii="Times New Roman" w:hAnsi="Times New Roman" w:cs="Times New Roman"/>
          <w:sz w:val="24"/>
          <w:szCs w:val="24"/>
        </w:rPr>
        <w:t xml:space="preserve"> a</w:t>
      </w:r>
      <w:r w:rsidR="00A358C6">
        <w:rPr>
          <w:rFonts w:ascii="Times New Roman" w:hAnsi="Times New Roman" w:cs="Times New Roman"/>
          <w:sz w:val="24"/>
          <w:szCs w:val="24"/>
        </w:rPr>
        <w:t xml:space="preserve"> </w:t>
      </w:r>
      <w:r w:rsidR="008F5875">
        <w:rPr>
          <w:rFonts w:ascii="Times New Roman" w:hAnsi="Times New Roman" w:cs="Times New Roman"/>
          <w:sz w:val="24"/>
          <w:szCs w:val="24"/>
        </w:rPr>
        <w:t xml:space="preserve">celor </w:t>
      </w:r>
      <w:r w:rsidR="00A358C6">
        <w:rPr>
          <w:rFonts w:ascii="Times New Roman" w:hAnsi="Times New Roman" w:cs="Times New Roman"/>
          <w:sz w:val="24"/>
          <w:szCs w:val="24"/>
        </w:rPr>
        <w:t>de cerer</w:t>
      </w:r>
      <w:r w:rsidR="008F5875">
        <w:rPr>
          <w:rFonts w:ascii="Times New Roman" w:hAnsi="Times New Roman" w:cs="Times New Roman"/>
          <w:sz w:val="24"/>
          <w:szCs w:val="24"/>
        </w:rPr>
        <w:t>e</w:t>
      </w:r>
      <w:r w:rsidR="00A358C6">
        <w:rPr>
          <w:rFonts w:ascii="Times New Roman" w:hAnsi="Times New Roman" w:cs="Times New Roman"/>
          <w:sz w:val="24"/>
          <w:szCs w:val="24"/>
        </w:rPr>
        <w:t>. Diagramele de măsurători cuprind metrici precum timpul mediu de răspuns și numărul cererilor eșuate în procentaj. Celelalte metrici, precum numărul total de cereri, timpii maximi de răspuns și num</w:t>
      </w:r>
      <w:r w:rsidR="008F5875">
        <w:rPr>
          <w:rFonts w:ascii="Times New Roman" w:hAnsi="Times New Roman" w:cs="Times New Roman"/>
          <w:sz w:val="24"/>
          <w:szCs w:val="24"/>
        </w:rPr>
        <w:t>ă</w:t>
      </w:r>
      <w:r w:rsidR="00A358C6">
        <w:rPr>
          <w:rFonts w:ascii="Times New Roman" w:hAnsi="Times New Roman" w:cs="Times New Roman"/>
          <w:sz w:val="24"/>
          <w:szCs w:val="24"/>
        </w:rPr>
        <w:t xml:space="preserve">rul total de cereri eșuate se pot găsi in Anexe. Comparațiile presupun </w:t>
      </w:r>
      <w:r w:rsidR="008F5875">
        <w:rPr>
          <w:rFonts w:ascii="Times New Roman" w:hAnsi="Times New Roman" w:cs="Times New Roman"/>
          <w:sz w:val="24"/>
          <w:szCs w:val="24"/>
        </w:rPr>
        <w:t>at</w:t>
      </w:r>
      <w:r w:rsidR="00A358C6">
        <w:rPr>
          <w:rFonts w:ascii="Times New Roman" w:hAnsi="Times New Roman" w:cs="Times New Roman"/>
          <w:sz w:val="24"/>
          <w:szCs w:val="24"/>
        </w:rPr>
        <w:t xml:space="preserve">ât compararea tehnicilor de scalare </w:t>
      </w:r>
      <w:r w:rsidR="004E3606">
        <w:rPr>
          <w:rFonts w:ascii="Times New Roman" w:hAnsi="Times New Roman" w:cs="Times New Roman"/>
          <w:sz w:val="24"/>
          <w:szCs w:val="24"/>
        </w:rPr>
        <w:t>simple</w:t>
      </w:r>
      <w:r w:rsidR="00A358C6">
        <w:rPr>
          <w:rFonts w:ascii="Times New Roman" w:hAnsi="Times New Roman" w:cs="Times New Roman"/>
          <w:sz w:val="24"/>
          <w:szCs w:val="24"/>
        </w:rPr>
        <w:t>, cât și a celor hibride.</w:t>
      </w:r>
    </w:p>
    <w:p w14:paraId="5A06723F" w14:textId="6986D2CA" w:rsidR="00C278AF" w:rsidRPr="00A358C6" w:rsidRDefault="00A358C6" w:rsidP="00B86B96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Ultima secțiune prezintă concluziile și realizările aduse de această dizertație. Concluziile se compar cu cele ale altor lucrări și se evidențieză părțile comune, precum și cele care diferă. </w:t>
      </w:r>
      <w:r w:rsidR="008F5875">
        <w:rPr>
          <w:rFonts w:ascii="Times New Roman" w:hAnsi="Times New Roman" w:cs="Times New Roman"/>
          <w:sz w:val="24"/>
          <w:szCs w:val="24"/>
        </w:rPr>
        <w:t>Finalul este constituit prin precizarea viitoarelor direcții</w:t>
      </w:r>
      <w:r w:rsidR="004E3606">
        <w:rPr>
          <w:rFonts w:ascii="Times New Roman" w:hAnsi="Times New Roman" w:cs="Times New Roman"/>
          <w:sz w:val="24"/>
          <w:szCs w:val="24"/>
        </w:rPr>
        <w:t xml:space="preserve"> propuse</w:t>
      </w:r>
      <w:r w:rsidR="008F5875">
        <w:rPr>
          <w:rFonts w:ascii="Times New Roman" w:hAnsi="Times New Roman" w:cs="Times New Roman"/>
          <w:sz w:val="24"/>
          <w:szCs w:val="24"/>
        </w:rPr>
        <w:t>.</w:t>
      </w:r>
    </w:p>
    <w:sectPr w:rsidR="00C278AF" w:rsidRPr="00A358C6" w:rsidSect="00B40945">
      <w:footerReference w:type="default" r:id="rId8"/>
      <w:pgSz w:w="12240" w:h="15840"/>
      <w:pgMar w:top="1417" w:right="1417" w:bottom="1417" w:left="1417" w:header="708" w:footer="708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93F21" w14:textId="77777777" w:rsidR="006D23D3" w:rsidRDefault="006D23D3" w:rsidP="00C278AF">
      <w:pPr>
        <w:spacing w:after="0" w:line="240" w:lineRule="auto"/>
      </w:pPr>
      <w:r>
        <w:separator/>
      </w:r>
    </w:p>
  </w:endnote>
  <w:endnote w:type="continuationSeparator" w:id="0">
    <w:p w14:paraId="32134D18" w14:textId="77777777" w:rsidR="006D23D3" w:rsidRDefault="006D23D3" w:rsidP="00C27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2718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2FDAB" w14:textId="77777777" w:rsidR="00B40945" w:rsidRDefault="00B409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6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5A490A" w14:textId="77777777" w:rsidR="007470E7" w:rsidRDefault="00747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5D953" w14:textId="77777777" w:rsidR="006D23D3" w:rsidRDefault="006D23D3" w:rsidP="00C278AF">
      <w:pPr>
        <w:spacing w:after="0" w:line="240" w:lineRule="auto"/>
      </w:pPr>
      <w:r>
        <w:separator/>
      </w:r>
    </w:p>
  </w:footnote>
  <w:footnote w:type="continuationSeparator" w:id="0">
    <w:p w14:paraId="203015D8" w14:textId="77777777" w:rsidR="006D23D3" w:rsidRDefault="006D23D3" w:rsidP="00C27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45D41"/>
    <w:multiLevelType w:val="multilevel"/>
    <w:tmpl w:val="BAE44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B6512D4"/>
    <w:multiLevelType w:val="multilevel"/>
    <w:tmpl w:val="BAE44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C883FC5"/>
    <w:multiLevelType w:val="hybridMultilevel"/>
    <w:tmpl w:val="8CF04036"/>
    <w:lvl w:ilvl="0" w:tplc="B8F2B836">
      <w:start w:val="1"/>
      <w:numFmt w:val="decimal"/>
      <w:lvlText w:val="[%1] 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8AF"/>
    <w:rsid w:val="00034338"/>
    <w:rsid w:val="000A3666"/>
    <w:rsid w:val="000A5EBE"/>
    <w:rsid w:val="000E5519"/>
    <w:rsid w:val="001114EE"/>
    <w:rsid w:val="00171157"/>
    <w:rsid w:val="001A69EE"/>
    <w:rsid w:val="002400C1"/>
    <w:rsid w:val="00327494"/>
    <w:rsid w:val="00377C3F"/>
    <w:rsid w:val="004579FB"/>
    <w:rsid w:val="0048378F"/>
    <w:rsid w:val="004E3606"/>
    <w:rsid w:val="00516A04"/>
    <w:rsid w:val="00530184"/>
    <w:rsid w:val="005337D0"/>
    <w:rsid w:val="005431CB"/>
    <w:rsid w:val="005458EE"/>
    <w:rsid w:val="005B0CA9"/>
    <w:rsid w:val="00602B34"/>
    <w:rsid w:val="00605164"/>
    <w:rsid w:val="00605A35"/>
    <w:rsid w:val="006B648C"/>
    <w:rsid w:val="006D23D3"/>
    <w:rsid w:val="006F78A2"/>
    <w:rsid w:val="007470E7"/>
    <w:rsid w:val="007B7B6B"/>
    <w:rsid w:val="007E103B"/>
    <w:rsid w:val="007E3584"/>
    <w:rsid w:val="00854EDA"/>
    <w:rsid w:val="008F5875"/>
    <w:rsid w:val="00917059"/>
    <w:rsid w:val="0092185A"/>
    <w:rsid w:val="00923F33"/>
    <w:rsid w:val="00A358C6"/>
    <w:rsid w:val="00A702AA"/>
    <w:rsid w:val="00B018B5"/>
    <w:rsid w:val="00B40945"/>
    <w:rsid w:val="00B86B96"/>
    <w:rsid w:val="00B9141E"/>
    <w:rsid w:val="00B9277A"/>
    <w:rsid w:val="00C278AF"/>
    <w:rsid w:val="00CD5171"/>
    <w:rsid w:val="00D15EE8"/>
    <w:rsid w:val="00D407AE"/>
    <w:rsid w:val="00D91827"/>
    <w:rsid w:val="00D9686D"/>
    <w:rsid w:val="00E05568"/>
    <w:rsid w:val="00E86C58"/>
    <w:rsid w:val="00EE0825"/>
    <w:rsid w:val="00EE3ED1"/>
    <w:rsid w:val="00F9705C"/>
    <w:rsid w:val="00FC3FAB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CFDDC"/>
  <w15:chartTrackingRefBased/>
  <w15:docId w15:val="{94119283-6F5B-41EC-9024-24AE62A7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8AF"/>
    <w:pPr>
      <w:spacing w:after="200" w:line="276" w:lineRule="auto"/>
    </w:pPr>
    <w:rPr>
      <w:rFonts w:ascii="Calibri" w:eastAsia="Times New Roman" w:hAnsi="Calibri" w:cs="Calibri"/>
      <w:lang w:val="ro-RO" w:eastAsia="ro-RO"/>
    </w:rPr>
  </w:style>
  <w:style w:type="paragraph" w:styleId="Heading1">
    <w:name w:val="heading 1"/>
    <w:basedOn w:val="Normal"/>
    <w:next w:val="Normal"/>
    <w:link w:val="Heading1Char"/>
    <w:qFormat/>
    <w:rsid w:val="00C27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7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7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link w:val="DefaultCharChar"/>
    <w:uiPriority w:val="99"/>
    <w:rsid w:val="00C278A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o-RO" w:eastAsia="ro-RO"/>
    </w:rPr>
  </w:style>
  <w:style w:type="character" w:customStyle="1" w:styleId="DefaultCharChar">
    <w:name w:val="Default Char Char"/>
    <w:link w:val="Default"/>
    <w:uiPriority w:val="99"/>
    <w:rsid w:val="00C278AF"/>
    <w:rPr>
      <w:rFonts w:ascii="Arial" w:eastAsia="Times New Roman" w:hAnsi="Arial" w:cs="Arial"/>
      <w:color w:val="000000"/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C27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8AF"/>
    <w:rPr>
      <w:rFonts w:ascii="Calibri" w:eastAsia="Times New Roman" w:hAnsi="Calibri" w:cs="Calibri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C27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8AF"/>
    <w:rPr>
      <w:rFonts w:ascii="Calibri" w:eastAsia="Times New Roman" w:hAnsi="Calibri" w:cs="Calibri"/>
      <w:lang w:val="ro-RO" w:eastAsia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C278AF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78A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278AF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78A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278AF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278AF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278AF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278AF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278AF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278AF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278AF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278AF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27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B648C"/>
    <w:pPr>
      <w:spacing w:after="0"/>
      <w:ind w:left="440" w:hanging="440"/>
    </w:pPr>
    <w:rPr>
      <w:rFonts w:asciiTheme="minorHAnsi" w:hAnsiTheme="minorHAnsi" w:cstheme="minorHAnsi"/>
      <w:caps/>
      <w:sz w:val="20"/>
      <w:szCs w:val="20"/>
    </w:rPr>
  </w:style>
  <w:style w:type="paragraph" w:styleId="NoSpacing">
    <w:name w:val="No Spacing"/>
    <w:uiPriority w:val="1"/>
    <w:qFormat/>
    <w:rsid w:val="00917059"/>
    <w:pPr>
      <w:spacing w:after="0" w:line="240" w:lineRule="auto"/>
    </w:pPr>
    <w:rPr>
      <w:rFonts w:ascii="Calibri" w:eastAsia="Times New Roman" w:hAnsi="Calibri" w:cs="Calibri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3042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4603C-CEBD-4DA1-943A-C9050F03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alex</dc:creator>
  <cp:keywords/>
  <dc:description/>
  <cp:lastModifiedBy>arnold</cp:lastModifiedBy>
  <cp:revision>21</cp:revision>
  <cp:lastPrinted>2018-06-24T14:39:00Z</cp:lastPrinted>
  <dcterms:created xsi:type="dcterms:W3CDTF">2017-03-05T14:55:00Z</dcterms:created>
  <dcterms:modified xsi:type="dcterms:W3CDTF">2020-06-10T20:44:00Z</dcterms:modified>
</cp:coreProperties>
</file>