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Python via .NET 24.1.0 -->
  <w:body>
    <w:p w:rsidR="003320B4" w14:paraId="1070019C" w14:textId="77777777">
      <w:pPr>
        <w:pStyle w:val="C-Heading1"/>
      </w:pPr>
      <w:r>
        <w:t>Trial Subjects and Compliance With Trial Protocol</w:t>
      </w:r>
    </w:p>
    <w:p w:rsidR="003320B4">
      <w:pPr>
        <w:numPr>
          <w:ilvl w:val="0"/>
          <w:numId w:val="0"/>
        </w:numPr>
        <w:sectPr>
          <w:headerReference w:type="default" r:id="rId4"/>
          <w:foot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20B4" w14:paraId="33FA786B" w14:textId="77777777">
      <w:pPr>
        <w:pStyle w:val="C-Heading2"/>
      </w:pPr>
      <w:r>
        <w:rPr>
          <w:rFonts w:hint="eastAsia"/>
        </w:rPr>
        <w:t>DISPOSITION OF SUBJECTS</w:t>
      </w:r>
    </w:p>
    <w:p w:rsidR="003320B4" w14:paraId="64DE6532" w14:textId="77777777">
      <w:pPr>
        <w:pStyle w:val="C-TableFootnote"/>
      </w:pPr>
      <w:bookmarkStart w:id="0" w:name="IDX"/>
      <w:bookmarkEnd w:id="0"/>
    </w:p>
    <w:tbl>
      <w:tblPr>
        <w:tblStyle w:val="TableNormal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6470"/>
        <w:gridCol w:w="915"/>
        <w:gridCol w:w="1851"/>
        <w:gridCol w:w="1851"/>
        <w:gridCol w:w="1851"/>
        <w:gridCol w:w="12"/>
      </w:tblGrid>
      <w:tr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bookmarkStart w:id="1" w:name="IDX_0"/>
            <w:bookmarkEnd w:id="1"/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Laekna</w:t>
            </w:r>
          </w:p>
        </w:tc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righ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Page 1 of 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2950" w:type="dxa"/>
          <w:cantSplit/>
          <w:jc w:val="center"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21" w:lineRule="exact"/>
              <w:jc w:val="center"/>
              <w:rPr>
                <w:rFonts w:ascii="Courier" w:cs="Courier" w:hint="default"/>
                <w:color w:val="000000"/>
                <w:sz w:val="2"/>
                <w:szCs w:val="2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blHeader w:val="0"/>
          <w:jc w:val="center"/>
        </w:trPr>
        <w:tc>
          <w:tcPr>
            <w:tcW w:w="12958" w:type="dxa"/>
            <w:gridSpan w:val="6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Table 14.3.1.1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Overview of Adverse Events - Phase I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Safety Analysis Set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blHeader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Cohort 1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(N=X)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Cohort 2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(N=X)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Total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(N=X)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 (%)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Adverse Events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TEAE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TEAEs related to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LAE001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afuresertib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prednisone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Severity of TEAEs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Mild/ Grade 1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Moderate/ Grade 2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Severe/ Grade 3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Life-threatening/ Grade 4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Death/ Grade 5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TEAEs with ≥ grade 3 toxicity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TEAEs with ≥ grade 3 toxicity and related to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serious TEAEs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serious TEAEs related to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TEAEs leading to discontinuation of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12958" w:type="dxa"/>
            <w:gridSpan w:val="6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Data cut-off = 15OCT2022.</w:t>
            </w:r>
          </w:p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Abbreviations: n = Number of patients, AE = Adverse event, AESI = AE of special interest, TEAE = Treatment-Emergent AE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Note: Percentages are based on the total number of patients in the analysis set for each dose cohort and total column.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Note: Adverse Events (AEs) are coded using MedDRA Dictionary, version 22.0.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Note: Severity of AEs are graded using the NCI-CTCAE (Version 5.0) toxicity grades.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2950" w:type="dxa"/>
          <w:cantSplit/>
          <w:jc w:val="center"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21" w:lineRule="exact"/>
              <w:jc w:val="center"/>
              <w:rPr>
                <w:rFonts w:ascii="Courier" w:cs="Courier" w:hint="default"/>
                <w:color w:val="000000"/>
                <w:sz w:val="2"/>
                <w:szCs w:val="2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[Source: LAEKNA_LIMITED\AFURESERTIB\BZA46559\BIOSTATISTICS\PRODUCTION\TABLES\PHASE_I_FINAL\T_AE.SAS] IQVIA 19JAN2023</w:t>
            </w:r>
          </w:p>
        </w:tc>
      </w:tr>
    </w:tbl>
    <w:p>
      <w:pPr>
        <w:sectPr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/>
    <w:tbl>
      <w:tblPr>
        <w:tblStyle w:val="TableNormal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6470"/>
        <w:gridCol w:w="915"/>
        <w:gridCol w:w="1851"/>
        <w:gridCol w:w="1851"/>
        <w:gridCol w:w="1851"/>
        <w:gridCol w:w="12"/>
      </w:tblGrid>
      <w:tr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bookmarkStart w:id="2" w:name="IDX1"/>
            <w:bookmarkEnd w:id="2"/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Laekna</w:t>
            </w:r>
          </w:p>
        </w:tc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righ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Page 2 of 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LAE201INT2101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LAE001 (CFG920) and Prednisone + Afuresertib (LAE002)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2950" w:type="dxa"/>
          <w:cantSplit/>
          <w:jc w:val="center"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21" w:lineRule="exact"/>
              <w:jc w:val="center"/>
              <w:rPr>
                <w:rFonts w:ascii="Courier" w:cs="Courier" w:hint="default"/>
                <w:color w:val="000000"/>
                <w:sz w:val="2"/>
                <w:szCs w:val="2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blHeader/>
          <w:jc w:val="center"/>
        </w:trPr>
        <w:tc>
          <w:tcPr>
            <w:tcW w:w="12958" w:type="dxa"/>
            <w:gridSpan w:val="6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Table 14.3.1.1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Overview of Adverse Events - Phase I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Safety Analysis Set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bookmarkStart w:id="3" w:name="_GoBack"/>
            <w:bookmarkEnd w:id="3"/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blHeader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Cohort 1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(N=8)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Cohort 2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(N=6)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Total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(N=14)</w:t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 (%)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TEAEs leading to discontinuation of any study drug and related to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TEAEs leading to discontinuation of study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TEAEs leading to discontinuation of study and related to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TEAEs leading to death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TEAEs leading to death and related to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treatment emergent AESIs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Any related treatment emergent AESIs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7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jc w:val="center"/>
        </w:trPr>
        <w:tc>
          <w:tcPr>
            <w:tcW w:w="12958" w:type="dxa"/>
            <w:gridSpan w:val="6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ascii="Courier New" w:cs="Courier New" w:hint="default"/>
                <w:color w:val="000000"/>
                <w:sz w:val="16"/>
                <w:szCs w:val="16"/>
              </w:rPr>
            </w:pPr>
          </w:p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Data cut-off = 15OCT2022.</w:t>
            </w:r>
          </w:p>
          <w:p>
            <w:pPr>
              <w:adjustRightInd w:val="0"/>
              <w:spacing w:beforeLines="0" w:afterLines="0" w:line="181" w:lineRule="exact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Abbreviations: n = Number of patients, AE = Adverse event, AESI = AE of special interest, TEAE = Treatment-Emergent AE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Note: Percentages are based on the total number of patients in the analysis set for each dose cohort and total column.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Note: Adverse Events (AEs) are coded using MedDRA Dictionary, version 22.0.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Note: Severity of AEs are graded using the NCI-CTCAE (Version 5.0) toxicity grades.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Note: Patients with multiple occurrences of TEAEs will have the TEAE with the highest grade included in this summary.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Note: Related = �Unlikely�, �Possible�, �Probable�, �Very Likely/Certain�; Not Related = �Unrelated�.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2950" w:type="dxa"/>
          <w:cantSplit/>
          <w:jc w:val="center"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21" w:lineRule="exact"/>
              <w:jc w:val="center"/>
              <w:rPr>
                <w:rFonts w:ascii="Courier" w:cs="Courier" w:hint="default"/>
                <w:color w:val="000000"/>
                <w:sz w:val="2"/>
                <w:szCs w:val="2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/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000000"/>
                <w:sz w:val="16"/>
                <w:szCs w:val="16"/>
              </w:rPr>
              <w:t>[Source: LAEKNA_LIMITED\AFURESERTIB\BZA46559\BIOSTATISTICS\PRODUCTION\TABLES\PHASE_I_FINAL\T_AE.SAS] IQVIA 19JAN2023</w:t>
            </w:r>
          </w:p>
        </w:tc>
      </w:tr>
    </w:tbl>
    <w:p>
      <w:pPr>
        <w:sectPr>
          <w:type w:val="nextPage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320B4" w14:paraId="42DD28EC" w14:textId="77777777">
      <w:pPr>
        <w:pStyle w:val="C-Heading2"/>
      </w:pPr>
      <w:r>
        <w:rPr>
          <w:rFonts w:hint="eastAsia"/>
        </w:rPr>
        <w:t>DATASETS ANALYSED</w:t>
      </w:r>
    </w:p>
    <w:p w:rsidR="003320B4" w14:paraId="3977C5F1" w14:textId="77777777">
      <w:pPr>
        <w:pStyle w:val="C-BodyText"/>
      </w:pPr>
    </w:p>
    <w:p w:rsidR="003320B4" w14:paraId="42F19115" w14:textId="77777777">
      <w:pPr>
        <w:pStyle w:val="C-Heading2"/>
        <w:rPr>
          <w:lang w:eastAsia="zh-CN"/>
        </w:rPr>
      </w:pPr>
      <w:r>
        <w:rPr>
          <w:lang w:eastAsia="zh-CN"/>
        </w:rPr>
        <w:t>PROTOCOL DEVIATIONS</w:t>
      </w:r>
    </w:p>
    <w:p w:rsidR="003320B4" w14:paraId="4857A6FF" w14:textId="77777777">
      <w:pPr>
        <w:pStyle w:val="C-BodyText"/>
        <w:rPr>
          <w:lang w:eastAsia="zh-CN"/>
        </w:rPr>
      </w:pPr>
    </w:p>
    <w:p w:rsidR="003320B4" w14:paraId="65AE72B4" w14:textId="77777777">
      <w:pPr>
        <w:pStyle w:val="C-Heading2"/>
        <w:rPr>
          <w:lang w:eastAsia="zh-CN"/>
        </w:rPr>
      </w:pPr>
      <w:r>
        <w:rPr>
          <w:lang w:eastAsia="zh-CN"/>
        </w:rPr>
        <w:t>DEMOGRAPHIC AND OTHER BASELINE CHARACTERISTICS</w:t>
      </w:r>
    </w:p>
    <w:p w:rsidR="003320B4" w14:paraId="70735D12" w14:textId="77777777">
      <w:pPr>
        <w:pStyle w:val="C-BodyText"/>
      </w:pPr>
    </w:p>
    <w:p w:rsidR="003320B4" w14:paraId="14C67B25" w14:textId="77777777">
      <w:pPr>
        <w:pStyle w:val="C-Heading3"/>
      </w:pPr>
      <w:r>
        <w:rPr>
          <w:rFonts w:hint="eastAsia"/>
        </w:rPr>
        <w:t xml:space="preserve">Demographic characteristics  </w:t>
      </w:r>
    </w:p>
    <w:p w:rsidR="003320B4" w14:paraId="1D6EFACF" w14:textId="77777777">
      <w:pPr>
        <w:pStyle w:val="C-BodyText"/>
        <w:rPr>
          <w:rFonts w:eastAsia="SimSun"/>
          <w:lang w:eastAsia="zh-CN"/>
        </w:rPr>
      </w:pPr>
    </w:p>
    <w:p w:rsidR="003320B4" w14:paraId="45988BCD" w14:textId="77777777">
      <w:pPr>
        <w:pStyle w:val="C-Heading3"/>
      </w:pPr>
      <w:r>
        <w:rPr>
          <w:rFonts w:hint="eastAsia"/>
        </w:rPr>
        <w:t>Medical history and concomitant therapies</w:t>
      </w:r>
    </w:p>
    <w:p w:rsidR="003320B4" w14:paraId="0837FE95" w14:textId="77777777">
      <w:pPr>
        <w:pStyle w:val="C-BodyText"/>
      </w:pPr>
    </w:p>
    <w:p w:rsidR="003320B4" w14:paraId="672E5C10" w14:textId="77777777">
      <w:pPr>
        <w:pStyle w:val="C-Heading2"/>
      </w:pPr>
      <w:r>
        <w:rPr>
          <w:rFonts w:hint="eastAsia"/>
        </w:rPr>
        <w:t>EXTENT OF EXPOSURE</w:t>
      </w:r>
    </w:p>
    <w:p w:rsidR="003320B4" w14:paraId="788ECC04" w14:textId="77777777">
      <w:pPr>
        <w:pStyle w:val="C-BodyText"/>
      </w:pPr>
    </w:p>
    <w:p w:rsidR="003320B4" w14:paraId="1935BF79" w14:textId="77777777">
      <w:pPr>
        <w:pStyle w:val="C-Heading2"/>
      </w:pPr>
      <w:r>
        <w:rPr>
          <w:rFonts w:hint="eastAsia"/>
        </w:rPr>
        <w:t>MEASUREMENTS OF TREATMENT COMPLIANCE</w:t>
      </w:r>
    </w:p>
    <w:p w:rsidR="003320B4" w14:paraId="3DFF4EE9" w14:textId="77777777">
      <w:pPr>
        <w:pStyle w:val="C-Heading1"/>
      </w:pPr>
      <w:bookmarkStart w:id="4" w:name="_Toc83208167"/>
      <w:r>
        <w:t>Pharmacokinetic, Pharmacodynamic, and Immunogenicity Evaluation</w:t>
      </w:r>
      <w:bookmarkEnd w:id="4"/>
    </w:p>
    <w:p w:rsidR="003320B4" w14:paraId="06832534" w14:textId="77777777">
      <w:pPr>
        <w:pStyle w:val="C-Heading2"/>
      </w:pPr>
      <w:bookmarkStart w:id="5" w:name="_Toc83208168"/>
      <w:r>
        <w:t>Data Sets Analyzed</w:t>
      </w:r>
      <w:bookmarkEnd w:id="5"/>
    </w:p>
    <w:p w:rsidR="003320B4" w14:paraId="7036E639" w14:textId="77777777">
      <w:pPr>
        <w:pStyle w:val="C-BodyText"/>
      </w:pPr>
    </w:p>
    <w:p w:rsidR="003320B4" w14:paraId="052B0A9A" w14:textId="77777777">
      <w:pPr>
        <w:pStyle w:val="C-Heading2"/>
      </w:pPr>
      <w:bookmarkStart w:id="6" w:name="_Toc83208169"/>
      <w:r>
        <w:t>Demographic and Other Baseline Characteristics</w:t>
      </w:r>
      <w:bookmarkEnd w:id="6"/>
    </w:p>
    <w:p w:rsidR="003320B4" w14:paraId="5F426D04" w14:textId="77777777">
      <w:pPr>
        <w:pStyle w:val="C-BodyText"/>
      </w:pPr>
      <w:r>
        <w:br w:type="page"/>
      </w:r>
      <w:bookmarkStart w:id="7" w:name="_Ref72833316"/>
    </w:p>
    <w:bookmarkEnd w:id="7"/>
    <w:p w:rsidR="003320B4" w14:paraId="125D1FB4" w14:textId="77777777">
      <w:pPr>
        <w:pStyle w:val="C-BodyText"/>
      </w:pPr>
      <w:r>
        <w:br w:type="page"/>
      </w:r>
    </w:p>
    <w:p w:rsidR="003320B4" w14:paraId="1995E96D" w14:textId="77777777">
      <w:pPr>
        <w:pStyle w:val="C-Heading2"/>
      </w:pPr>
      <w:bookmarkStart w:id="8" w:name="_Toc83208170"/>
      <w:r>
        <w:t>Measurements of Treatment Compliance</w:t>
      </w:r>
      <w:bookmarkEnd w:id="8"/>
    </w:p>
    <w:p w:rsidR="003320B4" w14:paraId="2728B472" w14:textId="77777777">
      <w:pPr>
        <w:pStyle w:val="C-Heading2"/>
      </w:pPr>
      <w:bookmarkStart w:id="9" w:name="_Toc83208171"/>
      <w:r>
        <w:t>Pharmacokinetic Results</w:t>
      </w:r>
      <w:bookmarkEnd w:id="9"/>
    </w:p>
    <w:p w:rsidR="003320B4" w14:paraId="5F9F3594" w14:textId="77777777">
      <w:pPr>
        <w:pStyle w:val="C-TableFootnote"/>
      </w:pPr>
    </w:p>
    <w:p w:rsidR="003320B4" w14:paraId="79D7697F" w14:textId="77777777">
      <w:pPr>
        <w:pStyle w:val="C-Heading3"/>
      </w:pPr>
      <w:bookmarkStart w:id="10" w:name="_Toc83208172"/>
      <w:r>
        <w:t>Statistical/Analysis Issues</w:t>
      </w:r>
      <w:bookmarkEnd w:id="10"/>
    </w:p>
    <w:p w:rsidR="003320B4" w14:paraId="57F71B35" w14:textId="77777777">
      <w:pPr>
        <w:pStyle w:val="C-Heading3"/>
      </w:pPr>
      <w:bookmarkStart w:id="11" w:name="_Toc83208173"/>
      <w:r>
        <w:t>Pharmacokinetic Conclusions</w:t>
      </w:r>
      <w:bookmarkEnd w:id="11"/>
    </w:p>
    <w:p w:rsidR="003320B4" w14:paraId="3DDB93A6" w14:textId="77777777">
      <w:pPr>
        <w:pStyle w:val="C-Heading2"/>
      </w:pPr>
      <w:bookmarkStart w:id="12" w:name="_Toc83208174"/>
      <w:r>
        <w:t>Pharmacodynamic Results</w:t>
      </w:r>
      <w:bookmarkEnd w:id="12"/>
    </w:p>
    <w:p w:rsidR="003320B4" w14:paraId="2BBC2784" w14:textId="77777777">
      <w:pPr>
        <w:pStyle w:val="C-Heading3"/>
      </w:pPr>
      <w:bookmarkStart w:id="13" w:name="_Toc80773907"/>
      <w:bookmarkStart w:id="14" w:name="_Toc81416950"/>
      <w:bookmarkStart w:id="15" w:name="_Toc83208175"/>
      <w:bookmarkEnd w:id="13"/>
      <w:bookmarkEnd w:id="14"/>
      <w:r>
        <w:t>Statistical/Analysis Issues</w:t>
      </w:r>
      <w:bookmarkEnd w:id="15"/>
    </w:p>
    <w:p w:rsidR="003320B4" w14:paraId="6C44AF1E" w14:textId="77777777">
      <w:pPr>
        <w:pStyle w:val="C-Heading3"/>
      </w:pPr>
      <w:bookmarkStart w:id="16" w:name="_Toc83208176"/>
      <w:r>
        <w:t>Pharmacodynamic Conclusions</w:t>
      </w:r>
      <w:bookmarkEnd w:id="16"/>
    </w:p>
    <w:p w:rsidR="003320B4" w14:paraId="21FF0CA2" w14:textId="77777777">
      <w:pPr>
        <w:pStyle w:val="C-Heading2"/>
      </w:pPr>
      <w:bookmarkStart w:id="17" w:name="_Toc83208177"/>
      <w:r>
        <w:t>Immunogenicity Results</w:t>
      </w:r>
      <w:bookmarkEnd w:id="17"/>
    </w:p>
    <w:p w:rsidR="003320B4" w14:paraId="50946AB5" w14:textId="77777777">
      <w:pPr>
        <w:pStyle w:val="C-Heading3"/>
      </w:pPr>
      <w:bookmarkStart w:id="18" w:name="_Toc83208178"/>
      <w:r>
        <w:t>Analysis of Immunogenicity</w:t>
      </w:r>
      <w:bookmarkEnd w:id="18"/>
    </w:p>
    <w:p w:rsidR="003320B4" w14:paraId="68CE8302" w14:textId="77777777">
      <w:pPr>
        <w:pStyle w:val="C-Heading3"/>
      </w:pPr>
      <w:bookmarkStart w:id="19" w:name="_Toc83208181"/>
      <w:r>
        <w:t>Immunogenicity Conclusions</w:t>
      </w:r>
      <w:bookmarkEnd w:id="19"/>
    </w:p>
    <w:p w:rsidR="003320B4" w14:paraId="5584DB16" w14:textId="77777777">
      <w:pPr>
        <w:pStyle w:val="C-BodyText"/>
      </w:pPr>
    </w:p>
    <w:p w:rsidR="003320B4" w14:paraId="64D5C264" w14:textId="77777777">
      <w:pPr>
        <w:pStyle w:val="C-Heading1"/>
      </w:pPr>
      <w:bookmarkStart w:id="20" w:name="bookmark303"/>
      <w:r>
        <w:t>SAFETY EVALUATION</w:t>
      </w:r>
      <w:bookmarkEnd w:id="20"/>
    </w:p>
    <w:p w:rsidR="003320B4" w14:paraId="778F69A4" w14:textId="77777777">
      <w:pPr>
        <w:pStyle w:val="2"/>
        <w:spacing w:after="160" w:line="254" w:lineRule="auto"/>
        <w:ind w:left="560"/>
      </w:pPr>
    </w:p>
    <w:p w:rsidR="003320B4" w14:paraId="53D4A752" w14:textId="77777777">
      <w:pPr>
        <w:pStyle w:val="C-Heading2"/>
      </w:pPr>
      <w:bookmarkStart w:id="21" w:name="bookmark305"/>
      <w:r>
        <w:t>ADVERSE EVENTS</w:t>
      </w:r>
      <w:bookmarkEnd w:id="21"/>
    </w:p>
    <w:p w:rsidR="003320B4" w14:paraId="2023E09D" w14:textId="77777777">
      <w:pPr>
        <w:pStyle w:val="2"/>
        <w:spacing w:after="160" w:line="254" w:lineRule="auto"/>
        <w:ind w:left="560"/>
      </w:pPr>
    </w:p>
    <w:p w:rsidR="003320B4" w14:paraId="1B6CA920" w14:textId="77777777">
      <w:pPr>
        <w:pStyle w:val="C-Heading3"/>
      </w:pPr>
      <w:bookmarkStart w:id="22" w:name="bookmark307"/>
      <w:r>
        <w:t>Brief summary of adverse events</w:t>
      </w:r>
      <w:bookmarkEnd w:id="22"/>
    </w:p>
    <w:p w:rsidR="003320B4" w14:paraId="32A0EC0B" w14:textId="77777777">
      <w:pPr>
        <w:pStyle w:val="2"/>
        <w:spacing w:after="0" w:line="254" w:lineRule="auto"/>
        <w:ind w:left="560"/>
      </w:pPr>
    </w:p>
    <w:p w:rsidR="003320B4" w14:paraId="628C3D68" w14:textId="77777777">
      <w:pPr>
        <w:pStyle w:val="2"/>
        <w:spacing w:after="160" w:line="254" w:lineRule="auto"/>
        <w:ind w:left="560"/>
      </w:pPr>
    </w:p>
    <w:p w:rsidR="003320B4" w14:paraId="391CAFB3" w14:textId="77777777">
      <w:pPr>
        <w:pStyle w:val="2"/>
        <w:spacing w:after="0" w:line="257" w:lineRule="auto"/>
        <w:ind w:left="560"/>
      </w:pPr>
    </w:p>
    <w:p w:rsidR="003320B4" w14:paraId="1C8D359B" w14:textId="77777777">
      <w:pPr>
        <w:pStyle w:val="2"/>
        <w:spacing w:after="160" w:line="257" w:lineRule="auto"/>
        <w:ind w:left="0" w:firstLine="560"/>
      </w:pPr>
    </w:p>
    <w:p w:rsidR="003320B4" w14:paraId="704E2B09" w14:textId="77777777">
      <w:pPr>
        <w:pStyle w:val="2"/>
        <w:spacing w:after="160" w:line="254" w:lineRule="auto"/>
        <w:ind w:left="560"/>
      </w:pPr>
    </w:p>
    <w:p w:rsidR="003320B4" w14:paraId="01D5ED29" w14:textId="77777777">
      <w:pPr>
        <w:pStyle w:val="30"/>
        <w:tabs>
          <w:tab w:val="left" w:leader="underscore" w:pos="9115"/>
        </w:tabs>
        <w:spacing w:after="0" w:line="240" w:lineRule="auto"/>
        <w:ind w:firstLine="0"/>
        <w:rPr>
          <w:sz w:val="24"/>
          <w:szCs w:val="24"/>
        </w:rPr>
      </w:pPr>
    </w:p>
    <w:p w:rsidR="003320B4" w14:paraId="06F7FF29" w14:textId="77777777">
      <w:pPr>
        <w:pStyle w:val="30"/>
        <w:spacing w:after="1800"/>
      </w:pPr>
    </w:p>
    <w:p w:rsidR="003320B4" w14:paraId="73048363" w14:textId="77777777">
      <w:pPr>
        <w:spacing w:after="239" w:line="1" w:lineRule="exact"/>
      </w:pPr>
    </w:p>
    <w:p w:rsidR="003320B4" w14:paraId="0F316658" w14:textId="77777777">
      <w:pPr>
        <w:pStyle w:val="30"/>
        <w:spacing w:after="180" w:line="240" w:lineRule="auto"/>
        <w:ind w:firstLine="540"/>
      </w:pPr>
    </w:p>
    <w:p w:rsidR="003320B4" w14:paraId="752FEC32" w14:textId="77777777">
      <w:pPr>
        <w:pStyle w:val="C-Heading3"/>
      </w:pPr>
      <w:bookmarkStart w:id="23" w:name="bookmark311"/>
      <w:r>
        <w:t>Display of adverse events</w:t>
      </w:r>
      <w:bookmarkEnd w:id="23"/>
    </w:p>
    <w:p w:rsidR="003320B4" w14:paraId="4A853D23" w14:textId="77777777">
      <w:pPr>
        <w:pStyle w:val="C-Heading4"/>
      </w:pPr>
      <w:bookmarkStart w:id="24" w:name="bookmark313"/>
      <w:r>
        <w:t>Treatment-emergent adverse events</w:t>
      </w:r>
      <w:bookmarkEnd w:id="24"/>
    </w:p>
    <w:p w:rsidR="003320B4" w14:paraId="74875508" w14:textId="77777777">
      <w:pPr>
        <w:pStyle w:val="2"/>
        <w:spacing w:after="180" w:line="254" w:lineRule="auto"/>
        <w:ind w:left="540"/>
      </w:pPr>
    </w:p>
    <w:p w:rsidR="003320B4" w14:paraId="06D614A3" w14:textId="77777777">
      <w:pPr>
        <w:pStyle w:val="2"/>
        <w:spacing w:after="180" w:line="254" w:lineRule="auto"/>
        <w:ind w:left="540"/>
      </w:pPr>
    </w:p>
    <w:p w:rsidR="003320B4" w14:paraId="5DE26716" w14:textId="77777777">
      <w:pPr>
        <w:pStyle w:val="2"/>
        <w:spacing w:after="0" w:line="254" w:lineRule="auto"/>
        <w:ind w:left="540"/>
      </w:pPr>
    </w:p>
    <w:p w:rsidR="003320B4" w14:paraId="5199A7D5" w14:textId="77777777">
      <w:pPr>
        <w:pStyle w:val="2"/>
        <w:spacing w:after="180" w:line="254" w:lineRule="auto"/>
        <w:ind w:left="540"/>
      </w:pPr>
    </w:p>
    <w:p w:rsidR="003320B4" w14:paraId="0EC8855A" w14:textId="77777777">
      <w:pPr>
        <w:pStyle w:val="30"/>
        <w:tabs>
          <w:tab w:val="left" w:leader="underscore" w:pos="9115"/>
        </w:tabs>
        <w:spacing w:after="0" w:line="240" w:lineRule="auto"/>
        <w:ind w:firstLine="0"/>
        <w:rPr>
          <w:sz w:val="24"/>
          <w:szCs w:val="24"/>
        </w:rPr>
      </w:pPr>
    </w:p>
    <w:p w:rsidR="003320B4" w14:paraId="3DB0818C" w14:textId="77777777">
      <w:pPr>
        <w:pStyle w:val="30"/>
        <w:spacing w:after="1800"/>
      </w:pPr>
    </w:p>
    <w:p w:rsidR="003320B4" w14:paraId="3766A603" w14:textId="77777777">
      <w:pPr>
        <w:spacing w:after="119" w:line="1" w:lineRule="exact"/>
      </w:pPr>
    </w:p>
    <w:p w:rsidR="003320B4" w14:paraId="77FB85DF" w14:textId="77777777">
      <w:pPr>
        <w:pStyle w:val="30"/>
        <w:spacing w:after="180" w:line="240" w:lineRule="auto"/>
        <w:ind w:firstLine="520"/>
        <w:rPr>
          <w:sz w:val="17"/>
          <w:szCs w:val="17"/>
        </w:rPr>
      </w:pPr>
    </w:p>
    <w:p w:rsidR="003320B4" w14:paraId="074BB27A" w14:textId="77777777">
      <w:pPr>
        <w:pStyle w:val="C-Heading4"/>
      </w:pPr>
      <w:bookmarkStart w:id="25" w:name="bookmark318"/>
      <w:r>
        <w:t>Adverse events that led to premature discontinuation of trial drug</w:t>
      </w:r>
      <w:bookmarkEnd w:id="25"/>
    </w:p>
    <w:p w:rsidR="003320B4" w14:paraId="7E0AAC89" w14:textId="77777777">
      <w:pPr>
        <w:pStyle w:val="2"/>
        <w:spacing w:after="180" w:line="254" w:lineRule="auto"/>
        <w:ind w:left="520" w:firstLine="40"/>
      </w:pPr>
    </w:p>
    <w:p w:rsidR="003320B4" w14:paraId="7A8A0923" w14:textId="77777777">
      <w:pPr>
        <w:pStyle w:val="30"/>
        <w:tabs>
          <w:tab w:val="left" w:leader="underscore" w:pos="9115"/>
        </w:tabs>
        <w:spacing w:after="0" w:line="240" w:lineRule="auto"/>
        <w:ind w:firstLine="0"/>
        <w:rPr>
          <w:sz w:val="24"/>
          <w:szCs w:val="24"/>
        </w:rPr>
      </w:pPr>
    </w:p>
    <w:p w:rsidR="003320B4" w14:paraId="1C8D9035" w14:textId="77777777">
      <w:pPr>
        <w:pStyle w:val="30"/>
        <w:spacing w:after="1800"/>
      </w:pPr>
    </w:p>
    <w:p w:rsidR="003320B4" w14:paraId="7DE20AE8" w14:textId="77777777">
      <w:pPr>
        <w:pStyle w:val="2"/>
        <w:spacing w:after="180" w:line="254" w:lineRule="auto"/>
        <w:ind w:left="580" w:firstLine="0"/>
      </w:pPr>
    </w:p>
    <w:p w:rsidR="003320B4" w14:paraId="63C95553" w14:textId="77777777">
      <w:pPr>
        <w:pStyle w:val="C-Heading4"/>
      </w:pPr>
      <w:bookmarkStart w:id="26" w:name="bookmark321"/>
      <w:r>
        <w:t>Drug-related adverse events</w:t>
      </w:r>
      <w:bookmarkEnd w:id="26"/>
    </w:p>
    <w:p w:rsidR="003320B4" w14:paraId="3DDB327C" w14:textId="77777777">
      <w:pPr>
        <w:pStyle w:val="2"/>
        <w:spacing w:after="180" w:line="254" w:lineRule="auto"/>
        <w:ind w:left="580" w:firstLine="0"/>
      </w:pPr>
    </w:p>
    <w:p w:rsidR="003320B4" w14:paraId="1D2C9704" w14:textId="77777777">
      <w:pPr>
        <w:pStyle w:val="2"/>
        <w:spacing w:after="180" w:line="254" w:lineRule="auto"/>
        <w:ind w:left="580" w:firstLine="0"/>
      </w:pPr>
    </w:p>
    <w:p w:rsidR="003320B4" w14:paraId="52AA315E" w14:textId="77777777">
      <w:pPr>
        <w:pStyle w:val="2"/>
        <w:spacing w:after="180" w:line="254" w:lineRule="auto"/>
        <w:ind w:left="580" w:firstLine="0"/>
      </w:pPr>
    </w:p>
    <w:p w:rsidR="003320B4" w14:paraId="6634D6D6" w14:textId="77777777">
      <w:pPr>
        <w:pStyle w:val="2"/>
        <w:spacing w:after="180" w:line="257" w:lineRule="auto"/>
        <w:ind w:left="580" w:firstLine="0"/>
      </w:pPr>
    </w:p>
    <w:p w:rsidR="003320B4" w14:paraId="1422BAF8" w14:textId="77777777">
      <w:pPr>
        <w:pStyle w:val="2"/>
        <w:spacing w:after="180" w:line="257" w:lineRule="auto"/>
        <w:ind w:left="580" w:firstLine="0"/>
      </w:pPr>
    </w:p>
    <w:p w:rsidR="003320B4" w14:paraId="136B6CCD" w14:textId="77777777">
      <w:pPr>
        <w:pStyle w:val="30"/>
        <w:tabs>
          <w:tab w:val="left" w:leader="underscore" w:pos="9115"/>
        </w:tabs>
        <w:spacing w:after="0" w:line="240" w:lineRule="auto"/>
        <w:ind w:firstLine="0"/>
        <w:rPr>
          <w:sz w:val="24"/>
          <w:szCs w:val="24"/>
        </w:rPr>
      </w:pPr>
    </w:p>
    <w:p w:rsidR="003320B4" w14:paraId="1B39AA80" w14:textId="77777777">
      <w:pPr>
        <w:spacing w:after="179" w:line="1" w:lineRule="exact"/>
      </w:pPr>
    </w:p>
    <w:p w:rsidR="003320B4" w14:paraId="0E4EA28E" w14:textId="77777777">
      <w:pPr>
        <w:pStyle w:val="C-Heading2"/>
      </w:pPr>
      <w:bookmarkStart w:id="27" w:name="bookmark326"/>
      <w:r>
        <w:t>SERIOUS ADVERSE EVENTS INCLUDING DEATHS</w:t>
      </w:r>
      <w:bookmarkEnd w:id="27"/>
    </w:p>
    <w:p w:rsidR="003320B4" w14:paraId="79BEE1F2" w14:textId="77777777">
      <w:pPr>
        <w:pStyle w:val="2"/>
        <w:spacing w:after="180" w:line="254" w:lineRule="auto"/>
        <w:ind w:left="0" w:firstLine="520"/>
      </w:pPr>
    </w:p>
    <w:p w:rsidR="003320B4" w14:paraId="2AEF023E" w14:textId="77777777">
      <w:pPr>
        <w:pStyle w:val="C-Heading2"/>
      </w:pPr>
      <w:bookmarkStart w:id="28" w:name="bookmark328"/>
      <w:r>
        <w:t>CLINICAL LABORATORY EVALUATION</w:t>
      </w:r>
      <w:bookmarkEnd w:id="28"/>
    </w:p>
    <w:p w:rsidR="003320B4" w14:paraId="2E35CBC8" w14:textId="77777777">
      <w:pPr>
        <w:spacing w:after="199" w:line="1" w:lineRule="exact"/>
      </w:pPr>
    </w:p>
    <w:p w:rsidR="003320B4" w14:paraId="60D78787" w14:textId="77777777">
      <w:pPr>
        <w:pStyle w:val="30"/>
        <w:spacing w:after="200" w:line="240" w:lineRule="auto"/>
        <w:ind w:firstLine="520"/>
      </w:pPr>
    </w:p>
    <w:p w:rsidR="003320B4" w14:paraId="47773802" w14:textId="77777777">
      <w:pPr>
        <w:pStyle w:val="30"/>
        <w:tabs>
          <w:tab w:val="left" w:leader="underscore" w:pos="9115"/>
        </w:tabs>
        <w:spacing w:after="0" w:line="240" w:lineRule="auto"/>
        <w:ind w:firstLine="0"/>
        <w:rPr>
          <w:sz w:val="24"/>
          <w:szCs w:val="24"/>
        </w:rPr>
      </w:pPr>
    </w:p>
    <w:p w:rsidR="003320B4" w14:paraId="43AC8921" w14:textId="77777777">
      <w:pPr>
        <w:pStyle w:val="30"/>
        <w:spacing w:after="1800"/>
      </w:pPr>
    </w:p>
    <w:p w:rsidR="003320B4" w14:paraId="4D15A01D" w14:textId="77777777">
      <w:pPr>
        <w:pStyle w:val="2"/>
        <w:spacing w:after="160" w:line="254" w:lineRule="auto"/>
        <w:ind w:left="560"/>
      </w:pPr>
    </w:p>
    <w:p w:rsidR="003320B4" w14:paraId="51AC4C4E" w14:textId="77777777">
      <w:pPr>
        <w:pStyle w:val="C-Heading2"/>
        <w:rPr>
          <w:sz w:val="20"/>
        </w:rPr>
      </w:pPr>
      <w:bookmarkStart w:id="29" w:name="bookmark333"/>
      <w:r>
        <w:rPr>
          <w:color w:val="000000"/>
          <w:sz w:val="20"/>
          <w:lang w:bidi="en-US"/>
        </w:rPr>
        <w:t xml:space="preserve">VITAL SIGNS </w:t>
      </w:r>
      <w:r w:rsidRPr="00462153">
        <w:rPr>
          <w:color w:val="000000"/>
          <w:sz w:val="20"/>
          <w:lang w:val="en-NZ" w:eastAsia="zh-CN" w:bidi="zh-CN"/>
        </w:rPr>
        <w:t xml:space="preserve">- </w:t>
      </w:r>
      <w:r>
        <w:rPr>
          <w:color w:val="000000"/>
          <w:sz w:val="20"/>
          <w:lang w:bidi="en-US"/>
        </w:rPr>
        <w:t>PHYSICAL FINDINGS AND OTHER OBSERVATIONS RELATED TO SAFETY</w:t>
      </w:r>
      <w:bookmarkEnd w:id="29"/>
    </w:p>
    <w:p w:rsidR="003320B4" w14:paraId="59F82905" w14:textId="77777777">
      <w:pPr>
        <w:pStyle w:val="C-Heading3"/>
      </w:pPr>
      <w:bookmarkStart w:id="30" w:name="bookmark335"/>
      <w:r>
        <w:t>Vital signs</w:t>
      </w:r>
      <w:bookmarkEnd w:id="30"/>
    </w:p>
    <w:p w:rsidR="003320B4" w14:paraId="204A991B" w14:textId="77777777">
      <w:pPr>
        <w:pStyle w:val="2"/>
        <w:spacing w:after="160" w:line="254" w:lineRule="auto"/>
        <w:ind w:left="560"/>
      </w:pPr>
    </w:p>
    <w:p w:rsidR="003320B4" w14:paraId="68E0770D" w14:textId="77777777">
      <w:pPr>
        <w:pStyle w:val="2"/>
        <w:spacing w:after="160" w:line="254" w:lineRule="auto"/>
        <w:ind w:left="560"/>
      </w:pPr>
    </w:p>
    <w:p w:rsidR="003320B4" w14:paraId="06440A30" w14:textId="77777777">
      <w:pPr>
        <w:pStyle w:val="2"/>
        <w:spacing w:after="160" w:line="257" w:lineRule="auto"/>
        <w:ind w:left="560"/>
      </w:pPr>
    </w:p>
    <w:p w:rsidR="003320B4" w14:paraId="7B478C74" w14:textId="77777777">
      <w:pPr>
        <w:pStyle w:val="C-Heading3"/>
      </w:pPr>
      <w:bookmarkStart w:id="31" w:name="bookmark337"/>
      <w:r>
        <w:t>Electrocardiograms</w:t>
      </w:r>
      <w:bookmarkEnd w:id="31"/>
    </w:p>
    <w:p w:rsidR="003320B4" w14:paraId="02E4471D" w14:textId="77777777">
      <w:pPr>
        <w:pStyle w:val="2"/>
        <w:spacing w:after="220"/>
        <w:ind w:left="560"/>
      </w:pPr>
    </w:p>
    <w:p w:rsidR="003320B4" w14:paraId="0A88D883" w14:textId="77777777">
      <w:pPr>
        <w:pStyle w:val="2"/>
        <w:spacing w:after="160"/>
        <w:ind w:left="560"/>
      </w:pPr>
    </w:p>
    <w:p w:rsidR="003320B4" w14:paraId="3EE6DD2E" w14:textId="77777777">
      <w:pPr>
        <w:pStyle w:val="C-Heading2"/>
      </w:pPr>
      <w:bookmarkStart w:id="32" w:name="bookmark339"/>
      <w:r>
        <w:t>SAFETY RESULTS SUMMARY</w:t>
      </w:r>
      <w:bookmarkEnd w:id="32"/>
    </w:p>
    <w:p w:rsidR="003320B4" w14:paraId="39BFF209" w14:textId="77777777">
      <w:pPr>
        <w:pStyle w:val="2"/>
        <w:spacing w:after="160" w:line="257" w:lineRule="auto"/>
        <w:ind w:left="560"/>
      </w:pPr>
    </w:p>
    <w:p w:rsidR="003320B4" w14:paraId="13B52701" w14:textId="77777777">
      <w:pPr>
        <w:pStyle w:val="C-BodyText"/>
      </w:pPr>
    </w:p>
    <w:p w:rsidR="003320B4" w14:paraId="27A5FBC6" w14:textId="77777777">
      <w:pPr>
        <w:pStyle w:val="C-Heading1"/>
      </w:pPr>
      <w:bookmarkStart w:id="33" w:name="_Toc83208205"/>
      <w:r>
        <w:t>Discussion and Overall Conclusions</w:t>
      </w:r>
      <w:bookmarkEnd w:id="33"/>
    </w:p>
    <w:p w:rsidR="003320B4" w14:paraId="25B8AD6D" w14:textId="77777777">
      <w:pPr>
        <w:pStyle w:val="C-Heading2"/>
      </w:pPr>
      <w:bookmarkStart w:id="34" w:name="_Toc83208206"/>
      <w:r>
        <w:t>Discussion</w:t>
      </w:r>
      <w:bookmarkEnd w:id="34"/>
    </w:p>
    <w:p w:rsidR="003320B4" w14:paraId="38E207EA" w14:textId="77777777">
      <w:pPr>
        <w:pStyle w:val="C-Heading3"/>
      </w:pPr>
      <w:bookmarkStart w:id="35" w:name="_Toc83208207"/>
      <w:r>
        <w:t>Pharmacodynamics</w:t>
      </w:r>
      <w:bookmarkEnd w:id="35"/>
    </w:p>
    <w:p w:rsidR="003320B4" w14:paraId="52566344" w14:textId="77777777">
      <w:pPr>
        <w:pStyle w:val="C-Heading3"/>
      </w:pPr>
      <w:bookmarkStart w:id="36" w:name="_Toc83208208"/>
      <w:r>
        <w:t>Pharmacokinetics</w:t>
      </w:r>
      <w:bookmarkEnd w:id="36"/>
    </w:p>
    <w:p w:rsidR="003320B4" w14:paraId="572AF793" w14:textId="77777777">
      <w:pPr>
        <w:pStyle w:val="C-Heading3"/>
      </w:pPr>
      <w:bookmarkStart w:id="37" w:name="_Toc83208209"/>
      <w:r>
        <w:t>Immunogenicity</w:t>
      </w:r>
      <w:bookmarkEnd w:id="37"/>
    </w:p>
    <w:p w:rsidR="003320B4" w14:paraId="2668B45F" w14:textId="77777777">
      <w:pPr>
        <w:pStyle w:val="C-Heading3"/>
      </w:pPr>
      <w:bookmarkStart w:id="38" w:name="_Toc83208210"/>
      <w:r>
        <w:t>Safety</w:t>
      </w:r>
      <w:bookmarkEnd w:id="38"/>
      <w:r>
        <w:rPr>
          <w:rFonts w:eastAsia="SimSun" w:hint="eastAsia"/>
          <w:lang w:eastAsia="zh-CN"/>
        </w:rPr>
        <w:t>1</w:t>
      </w:r>
    </w:p>
    <w:p w:rsidR="003320B4" w14:paraId="19DC5E8E" w14:textId="77777777">
      <w:pPr>
        <w:pStyle w:val="C-Heading2"/>
      </w:pPr>
      <w:bookmarkStart w:id="39" w:name="_Toc83208211"/>
      <w:r>
        <w:t>Conclusions</w:t>
      </w:r>
      <w:bookmarkEnd w:id="39"/>
    </w:p>
    <w:p w:rsidR="003320B4" w14:paraId="36243059" w14:textId="77777777">
      <w:pPr>
        <w:pStyle w:val="C-Heading3"/>
      </w:pPr>
      <w:bookmarkStart w:id="40" w:name="_Toc83208212"/>
      <w:r>
        <w:t>Pharmacodynamics</w:t>
      </w:r>
      <w:bookmarkEnd w:id="40"/>
    </w:p>
    <w:p w:rsidR="003320B4" w14:paraId="255F9A1B" w14:textId="77777777">
      <w:pPr>
        <w:pStyle w:val="C-Heading3"/>
      </w:pPr>
      <w:bookmarkStart w:id="41" w:name="_Toc83208213"/>
      <w:r>
        <w:t>Pharmacokinetics</w:t>
      </w:r>
      <w:bookmarkEnd w:id="41"/>
    </w:p>
    <w:p w:rsidR="003320B4" w14:paraId="5FA7B421" w14:textId="77777777">
      <w:pPr>
        <w:pStyle w:val="C-Heading3"/>
      </w:pPr>
      <w:bookmarkStart w:id="42" w:name="_Toc83208214"/>
      <w:r>
        <w:t>Immunogenicity</w:t>
      </w:r>
      <w:bookmarkEnd w:id="42"/>
    </w:p>
    <w:p w:rsidR="003320B4" w14:paraId="3FB64A47" w14:textId="77777777">
      <w:pPr>
        <w:pStyle w:val="C-Heading3"/>
      </w:pPr>
      <w:bookmarkStart w:id="43" w:name="_Toc83208215"/>
      <w:r>
        <w:t>Safety</w:t>
      </w:r>
      <w:bookmarkEnd w:id="43"/>
      <w:r>
        <w:rPr>
          <w:rFonts w:eastAsia="SimSun" w:hint="eastAsia"/>
          <w:lang w:eastAsia="zh-CN"/>
        </w:rPr>
        <w:t>2</w:t>
      </w:r>
    </w:p>
    <w:p w:rsidR="003320B4" w14:paraId="4F4C5C09" w14:textId="77777777">
      <w:pPr>
        <w:pStyle w:val="C-Heading1"/>
      </w:pPr>
      <w:bookmarkStart w:id="44" w:name="_Toc83208216"/>
      <w:r>
        <w:t>Tables, Figures, and Graphs Referred to But Not Included in the Text</w:t>
      </w:r>
      <w:bookmarkEnd w:id="44"/>
    </w:p>
    <w:p w:rsidR="003320B4" w14:paraId="3F73A1BB" w14:textId="77777777">
      <w:pPr>
        <w:pStyle w:val="C-Heading2"/>
      </w:pPr>
      <w:bookmarkStart w:id="45" w:name="_Toc83208217"/>
      <w:r>
        <w:t>Disposition, Demographic, and Exposure Data</w:t>
      </w:r>
      <w:bookmarkEnd w:id="45"/>
    </w:p>
    <w:p w:rsidR="003320B4" w14:paraId="52106251" w14:textId="77777777">
      <w:pPr>
        <w:pStyle w:val="C-Heading3"/>
      </w:pPr>
      <w:bookmarkStart w:id="46" w:name="_Toc83208218"/>
      <w:r>
        <w:t>Disposition</w:t>
      </w:r>
      <w:bookmarkEnd w:id="46"/>
    </w:p>
    <w:p w:rsidR="003320B4" w14:paraId="5998A008" w14:textId="77777777">
      <w:pPr>
        <w:pStyle w:val="C-Heading3"/>
      </w:pPr>
      <w:bookmarkStart w:id="47" w:name="_Toc83208219"/>
      <w:r>
        <w:t>Demographics</w:t>
      </w:r>
      <w:bookmarkEnd w:id="47"/>
    </w:p>
    <w:p w:rsidR="003320B4" w14:paraId="4F402E3E" w14:textId="77777777">
      <w:pPr>
        <w:pStyle w:val="C-Heading3"/>
      </w:pPr>
      <w:bookmarkStart w:id="48" w:name="_Toc83208220"/>
      <w:r>
        <w:t>Exposure</w:t>
      </w:r>
      <w:bookmarkEnd w:id="48"/>
    </w:p>
    <w:p w:rsidR="003320B4" w14:paraId="6C3AEA78" w14:textId="77777777">
      <w:pPr>
        <w:pStyle w:val="C-Heading2"/>
      </w:pPr>
      <w:bookmarkStart w:id="49" w:name="_Toc83208221"/>
      <w:r>
        <w:t>Pharmacokinetic Data</w:t>
      </w:r>
      <w:bookmarkEnd w:id="49"/>
    </w:p>
    <w:p w:rsidR="003320B4" w14:paraId="2B41F7A7" w14:textId="77777777">
      <w:pPr>
        <w:pStyle w:val="C-Heading2"/>
      </w:pPr>
      <w:bookmarkStart w:id="50" w:name="_Toc83208222"/>
      <w:r>
        <w:t>Pharmacodynamic Data</w:t>
      </w:r>
      <w:bookmarkEnd w:id="50"/>
    </w:p>
    <w:p w:rsidR="003320B4" w14:paraId="1CC69777" w14:textId="77777777">
      <w:pPr>
        <w:pStyle w:val="C-Heading2"/>
      </w:pPr>
      <w:bookmarkStart w:id="51" w:name="_Toc83208223"/>
      <w:r>
        <w:t>Immunogenicity Data</w:t>
      </w:r>
      <w:bookmarkEnd w:id="51"/>
    </w:p>
    <w:p w:rsidR="003320B4" w14:paraId="09AD62E3" w14:textId="77777777">
      <w:pPr>
        <w:pStyle w:val="C-Heading2"/>
      </w:pPr>
      <w:bookmarkStart w:id="52" w:name="_Toc83208224"/>
      <w:r>
        <w:t>Safety Data</w:t>
      </w:r>
      <w:bookmarkEnd w:id="52"/>
    </w:p>
    <w:p w:rsidR="003320B4" w14:paraId="5BB749D9" w14:textId="77777777">
      <w:pPr>
        <w:pStyle w:val="C-Heading3"/>
      </w:pPr>
      <w:bookmarkStart w:id="53" w:name="_Toc83208225"/>
      <w:r>
        <w:t>Adverse</w:t>
      </w:r>
      <w:r>
        <w:rPr>
          <w:rFonts w:eastAsia="SimSun" w:hint="eastAsia"/>
          <w:lang w:eastAsia="zh-CN"/>
        </w:rPr>
        <w:t xml:space="preserve"> </w:t>
      </w:r>
      <w:r>
        <w:t>Events</w:t>
      </w:r>
      <w:bookmarkEnd w:id="53"/>
    </w:p>
    <w:p w:rsidR="003320B4" w14:paraId="2198EA31" w14:textId="77777777">
      <w:pPr>
        <w:pStyle w:val="C-Heading3"/>
      </w:pPr>
      <w:bookmarkStart w:id="54" w:name="_Toc83208226"/>
      <w:r>
        <w:t>Listing of Deaths and Other Serious Adverse Events</w:t>
      </w:r>
      <w:bookmarkEnd w:id="54"/>
    </w:p>
    <w:p w:rsidR="003320B4" w14:paraId="025D23E9" w14:textId="77777777">
      <w:pPr>
        <w:pStyle w:val="C-Heading3"/>
      </w:pPr>
      <w:bookmarkStart w:id="55" w:name="_Toc83208227"/>
      <w:r>
        <w:t>Narratives of Deaths and Other Serious Adverse Events</w:t>
      </w:r>
      <w:bookmarkEnd w:id="55"/>
    </w:p>
    <w:p w:rsidR="003320B4" w14:paraId="4A374768" w14:textId="77777777">
      <w:pPr>
        <w:pStyle w:val="C-Heading3"/>
      </w:pPr>
      <w:bookmarkStart w:id="56" w:name="_Toc83208228"/>
      <w:r>
        <w:t>Clinical Laboratory</w:t>
      </w:r>
      <w:bookmarkEnd w:id="56"/>
    </w:p>
    <w:p w:rsidR="003320B4" w14:paraId="45BB4F9A" w14:textId="77777777">
      <w:pPr>
        <w:pStyle w:val="C-Heading3"/>
      </w:pPr>
      <w:bookmarkStart w:id="57" w:name="_Toc83208229"/>
      <w:r>
        <w:t>Other Safety Parameters</w:t>
      </w:r>
      <w:bookmarkEnd w:id="57"/>
    </w:p>
    <w:p w:rsidR="003320B4" w14:paraId="3DE9AA3A" w14:textId="77777777">
      <w:pPr>
        <w:pStyle w:val="C-Heading1"/>
      </w:pPr>
      <w:bookmarkStart w:id="58" w:name="_REFX_HEADER"/>
      <w:bookmarkStart w:id="59" w:name="_Toc83208230"/>
      <w:r>
        <w:t>References</w:t>
      </w:r>
      <w:bookmarkEnd w:id="58"/>
      <w:bookmarkEnd w:id="59"/>
    </w:p>
    <w:p w:rsidR="00B617E3" w:rsidP="00B617E3" w14:paraId="52BB3986" w14:textId="77777777">
      <w:pPr>
        <w:pStyle w:val="C-BodyText"/>
      </w:pPr>
    </w:p>
    <w:p w:rsidR="00B617E3" w:rsidRPr="00B617E3" w:rsidP="00B617E3" w14:paraId="11F82F08" w14:textId="7B8347C8">
      <w:pPr>
        <w:pStyle w:val="C-BodyText"/>
      </w:pPr>
      <w:r>
        <w:t>adassadasda</w:t>
      </w:r>
    </w:p>
    <w:p w:rsidR="003320B4" w14:paraId="48344065" w14:textId="77777777">
      <w:pPr>
        <w:pStyle w:val="C-Heading1"/>
      </w:pPr>
      <w:bookmarkStart w:id="60" w:name="_Toc83208231"/>
      <w:r>
        <w:t>Appendices</w:t>
      </w:r>
      <w:bookmarkEnd w:id="60"/>
    </w:p>
    <w:p w:rsidR="00A80358" w:rsidP="00A80358" w14:paraId="04D4D84C" w14:textId="77777777">
      <w:pPr>
        <w:pStyle w:val="C-BodyText"/>
      </w:pPr>
    </w:p>
    <w:p w:rsidR="00A80358" w:rsidRPr="00A80358" w:rsidP="00A80358" w14:paraId="1E1D81AA" w14:textId="46090158">
      <w:pPr>
        <w:pStyle w:val="C-BodyText"/>
      </w:pPr>
      <w:r>
        <w:t>sadassadasda</w:t>
      </w:r>
    </w:p>
    <w:sectPr>
      <w:type w:val="nextPage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320B4" w14:paraId="11141FC2" w14:textId="77777777">
    <w:pPr>
      <w:pStyle w:val="Footer"/>
    </w:pP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:rsidR="003320B4" w14:paraId="4C132101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320B4" w14:paraId="45F0F161" w14:textId="77777777">
    <w:pPr>
      <w:pStyle w:val="Header"/>
      <w:tabs>
        <w:tab w:val="clear" w:pos="4680"/>
        <w:tab w:val="center" w:pos="6480"/>
        <w:tab w:val="clear" w:pos="9360"/>
        <w:tab w:val="right" w:pos="12960"/>
      </w:tabs>
    </w:pPr>
    <w:r>
      <w:t xml:space="preserve">Clinical Study Report </w:t>
    </w:r>
    <w:r>
      <w:ptab w:relativeTo="margin" w:alignment="right" w:leader="none"/>
    </w:r>
    <w:r>
      <w:t>XXXX-1911</w:t>
    </w:r>
  </w:p>
  <w:p w:rsidR="003320B4" w14:paraId="4768E031" w14:textId="77777777">
    <w:pPr>
      <w:pStyle w:val="Header"/>
    </w:pPr>
    <w:r>
      <w:t>AAAA/XXXX</w:t>
    </w:r>
    <w:r>
      <w:ptab w:relativeTo="margin" w:alignment="right" w:leader="none"/>
    </w:r>
    <w:r>
      <w:t>14 Sep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7EE4335"/>
    <w:multiLevelType w:val="multilevel"/>
    <w:tmpl w:val="37EE4335"/>
    <w:lvl w:ilvl="0">
      <w:start w:val="10"/>
      <w:numFmt w:val="decimal"/>
      <w:pStyle w:val="C-Heading1"/>
      <w:lvlText w:val="%1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160"/>
        </w:tabs>
        <w:ind w:left="1080" w:hanging="1080"/>
      </w:pPr>
      <w:rPr>
        <w:rFonts w:hint="default"/>
      </w:rPr>
    </w:lvl>
  </w:abstractNum>
  <w:num w:numId="1" w16cid:durableId="13050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FCDF3159"/>
    <w:rsid w:val="9C4D0364"/>
    <w:rsid w:val="9CFF4166"/>
    <w:rsid w:val="C5DD2913"/>
    <w:rsid w:val="D9D96D05"/>
    <w:rsid w:val="DBD7EE19"/>
    <w:rsid w:val="EEDB6A31"/>
    <w:rsid w:val="EEDFD5A9"/>
    <w:rsid w:val="EFFFC3D9"/>
    <w:rsid w:val="FCDF3159"/>
    <w:rsid w:val="FFF7D5CA"/>
    <w:rsid w:val="00223F80"/>
    <w:rsid w:val="003320B4"/>
    <w:rsid w:val="00462153"/>
    <w:rsid w:val="00612D89"/>
    <w:rsid w:val="00633134"/>
    <w:rsid w:val="00A80358"/>
    <w:rsid w:val="00B617E3"/>
    <w:rsid w:val="00CC41F7"/>
    <w:rsid w:val="00E84E50"/>
    <w:rsid w:val="1B5BCB41"/>
    <w:rsid w:val="1D3B0B5D"/>
    <w:rsid w:val="1EAD9C24"/>
    <w:rsid w:val="2BF35098"/>
    <w:rsid w:val="5FF98C0F"/>
    <w:rsid w:val="63F7AE3A"/>
    <w:rsid w:val="698D032B"/>
    <w:rsid w:val="7B7F597C"/>
    <w:rsid w:val="7DBDA1FD"/>
    <w:rsid w:val="7DD59508"/>
    <w:rsid w:val="7EBC880E"/>
    <w:rsid w:val="7FABD149"/>
    <w:rsid w:val="7FFD2468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CA6D75A"/>
  <w15:docId w15:val="{47660F57-7F30-4EA5-8618-DDA1B6E7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DengXian" w:eastAsia="DengXian" w:hAnsi="DengXian" w:cs="DengXi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C-BodyText"/>
    <w:qFormat/>
    <w:pPr>
      <w:keepNext/>
      <w:spacing w:before="120" w:after="120" w:line="280" w:lineRule="atLeast"/>
      <w:ind w:left="1440" w:hanging="1440"/>
    </w:pPr>
    <w:rPr>
      <w:rFonts w:eastAsia="Times New Roman"/>
      <w:b/>
      <w:bCs/>
      <w:sz w:val="24"/>
      <w:szCs w:val="24"/>
    </w:rPr>
  </w:style>
  <w:style w:type="paragraph" w:customStyle="1" w:styleId="C-BodyText">
    <w:name w:val="C-Body Text"/>
    <w:qFormat/>
    <w:pPr>
      <w:spacing w:before="120" w:after="120" w:line="280" w:lineRule="atLeast"/>
    </w:pPr>
    <w:rPr>
      <w:rFonts w:eastAsia="Times New Roman"/>
      <w:sz w:val="24"/>
    </w:rPr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customStyle="1" w:styleId="C-Heading1">
    <w:name w:val="C-Heading 1"/>
    <w:next w:val="C-BodyText"/>
    <w:pPr>
      <w:keepNext/>
      <w:pageBreakBefore/>
      <w:numPr>
        <w:numId w:val="1"/>
      </w:numPr>
      <w:spacing w:before="480" w:after="120"/>
      <w:outlineLvl w:val="0"/>
    </w:pPr>
    <w:rPr>
      <w:rFonts w:eastAsia="Times New Roman"/>
      <w:b/>
      <w:caps/>
      <w:sz w:val="28"/>
    </w:rPr>
  </w:style>
  <w:style w:type="paragraph" w:customStyle="1" w:styleId="C-Heading2">
    <w:name w:val="C-Heading 2"/>
    <w:next w:val="C-BodyText"/>
    <w:pPr>
      <w:keepNext/>
      <w:numPr>
        <w:ilvl w:val="1"/>
        <w:numId w:val="1"/>
      </w:numPr>
      <w:spacing w:before="240"/>
      <w:outlineLvl w:val="1"/>
    </w:pPr>
    <w:rPr>
      <w:rFonts w:eastAsia="Times New Roman"/>
      <w:b/>
      <w:sz w:val="28"/>
    </w:rPr>
  </w:style>
  <w:style w:type="paragraph" w:customStyle="1" w:styleId="C-TableHeader">
    <w:name w:val="C-Table Header"/>
    <w:next w:val="C-TableText"/>
    <w:pPr>
      <w:keepNext/>
      <w:spacing w:before="60" w:after="60"/>
    </w:pPr>
    <w:rPr>
      <w:rFonts w:eastAsia="Times New Roman"/>
      <w:b/>
      <w:sz w:val="22"/>
    </w:rPr>
  </w:style>
  <w:style w:type="paragraph" w:customStyle="1" w:styleId="C-TableText">
    <w:name w:val="C-Table Text"/>
    <w:pPr>
      <w:spacing w:before="60" w:after="60"/>
    </w:pPr>
    <w:rPr>
      <w:rFonts w:eastAsia="Times New Roman"/>
      <w:sz w:val="22"/>
    </w:rPr>
  </w:style>
  <w:style w:type="character" w:customStyle="1" w:styleId="C-TableCallout">
    <w:name w:val="C-Table Callout"/>
    <w:qFormat/>
    <w:rPr>
      <w:rFonts w:ascii="Times New Roman" w:hAnsi="Times New Roman"/>
      <w:color w:val="auto"/>
      <w:spacing w:val="0"/>
      <w:w w:val="100"/>
      <w:position w:val="-1"/>
      <w:sz w:val="22"/>
      <w:szCs w:val="22"/>
      <w:u w:val="none"/>
      <w:vertAlign w:val="superscript"/>
    </w:rPr>
  </w:style>
  <w:style w:type="paragraph" w:customStyle="1" w:styleId="C-Footnote">
    <w:name w:val="C-Footnote"/>
    <w:basedOn w:val="C-TableFootnote"/>
    <w:qFormat/>
    <w:pPr>
      <w:ind w:left="0" w:firstLine="0"/>
    </w:pPr>
  </w:style>
  <w:style w:type="paragraph" w:customStyle="1" w:styleId="C-TableFootnote">
    <w:name w:val="C-Table Footnote"/>
    <w:next w:val="C-BodyText"/>
    <w:qFormat/>
    <w:pPr>
      <w:tabs>
        <w:tab w:val="left" w:pos="144"/>
      </w:tabs>
      <w:ind w:left="144" w:hanging="144"/>
    </w:pPr>
    <w:rPr>
      <w:rFonts w:eastAsia="Times New Roman" w:cs="Arial"/>
    </w:rPr>
  </w:style>
  <w:style w:type="table" w:customStyle="1" w:styleId="C-Table">
    <w:name w:val="C-Table"/>
    <w:basedOn w:val="TableNormal"/>
    <w:qFormat/>
    <w:rPr>
      <w:rFonts w:eastAsia="Times New Roman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</w:style>
  <w:style w:type="paragraph" w:customStyle="1" w:styleId="C-Heading3">
    <w:name w:val="C-Heading 3"/>
    <w:next w:val="C-BodyText"/>
    <w:qFormat/>
    <w:pPr>
      <w:keepNext/>
      <w:numPr>
        <w:ilvl w:val="2"/>
        <w:numId w:val="1"/>
      </w:numPr>
      <w:spacing w:before="240"/>
      <w:outlineLvl w:val="2"/>
    </w:pPr>
    <w:rPr>
      <w:rFonts w:eastAsia="Times New Roman"/>
      <w:b/>
      <w:sz w:val="24"/>
    </w:rPr>
  </w:style>
  <w:style w:type="paragraph" w:customStyle="1" w:styleId="C-Heading4">
    <w:name w:val="C-Heading 4"/>
    <w:next w:val="C-BodyText"/>
    <w:pPr>
      <w:keepNext/>
      <w:numPr>
        <w:ilvl w:val="3"/>
        <w:numId w:val="1"/>
      </w:numPr>
      <w:spacing w:before="240"/>
      <w:outlineLvl w:val="3"/>
    </w:pPr>
    <w:rPr>
      <w:rFonts w:eastAsia="Times New Roman"/>
      <w:b/>
      <w:sz w:val="24"/>
    </w:rPr>
  </w:style>
  <w:style w:type="paragraph" w:customStyle="1" w:styleId="C-Heading5">
    <w:name w:val="C-Heading 5"/>
    <w:next w:val="C-BodyText"/>
    <w:qFormat/>
    <w:pPr>
      <w:keepNext/>
      <w:numPr>
        <w:ilvl w:val="4"/>
        <w:numId w:val="1"/>
      </w:numPr>
      <w:spacing w:before="240"/>
      <w:outlineLvl w:val="4"/>
    </w:pPr>
    <w:rPr>
      <w:rFonts w:eastAsia="Times New Roman"/>
      <w:b/>
      <w:sz w:val="24"/>
    </w:rPr>
  </w:style>
  <w:style w:type="paragraph" w:customStyle="1" w:styleId="C-Heading5non-numbered">
    <w:name w:val="C-Heading 5 (non-numbered)"/>
    <w:basedOn w:val="C-Heading5"/>
    <w:next w:val="C-BodyText"/>
    <w:pPr>
      <w:numPr>
        <w:ilvl w:val="0"/>
        <w:numId w:val="0"/>
      </w:numPr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qFormat/>
    <w:pPr>
      <w:numPr>
        <w:ilvl w:val="0"/>
        <w:numId w:val="0"/>
      </w:numPr>
      <w:ind w:left="1080" w:hanging="1080"/>
    </w:pPr>
  </w:style>
  <w:style w:type="paragraph" w:customStyle="1" w:styleId="C-Heading6">
    <w:name w:val="C-Heading 6"/>
    <w:next w:val="C-BodyText"/>
    <w:qFormat/>
    <w:pPr>
      <w:keepNext/>
      <w:numPr>
        <w:ilvl w:val="5"/>
        <w:numId w:val="1"/>
      </w:numPr>
      <w:tabs>
        <w:tab w:val="left" w:pos="1224"/>
      </w:tabs>
      <w:spacing w:before="240"/>
      <w:outlineLvl w:val="5"/>
    </w:pPr>
    <w:rPr>
      <w:rFonts w:eastAsia="Times New Roman"/>
      <w:b/>
      <w:sz w:val="24"/>
    </w:rPr>
  </w:style>
  <w:style w:type="paragraph" w:customStyle="1" w:styleId="1">
    <w:name w:val="标题 #1"/>
    <w:basedOn w:val="Normal"/>
    <w:qFormat/>
    <w:pPr>
      <w:spacing w:after="2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">
    <w:name w:val="正文文本 (2)"/>
    <w:basedOn w:val="Normal"/>
    <w:qFormat/>
    <w:pPr>
      <w:spacing w:after="80"/>
      <w:ind w:left="160" w:firstLine="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0">
    <w:name w:val="标题 #2"/>
    <w:basedOn w:val="Normal"/>
    <w:pPr>
      <w:spacing w:after="210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3">
    <w:name w:val="标题 #3"/>
    <w:basedOn w:val="Normal"/>
    <w:pPr>
      <w:spacing w:after="200"/>
      <w:outlineLvl w:val="2"/>
    </w:pPr>
    <w:rPr>
      <w:rFonts w:ascii="Times New Roman" w:eastAsia="Times New Roman" w:hAnsi="Times New Roman" w:cs="Times New Roman"/>
      <w:b/>
      <w:bCs/>
    </w:rPr>
  </w:style>
  <w:style w:type="paragraph" w:customStyle="1" w:styleId="30">
    <w:name w:val="正文文本 (3)"/>
    <w:basedOn w:val="Normal"/>
    <w:pPr>
      <w:spacing w:after="40" w:line="206" w:lineRule="auto"/>
      <w:ind w:firstLine="42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4">
    <w:name w:val="标题 #4"/>
    <w:basedOn w:val="Normal"/>
    <w:pPr>
      <w:spacing w:after="220"/>
      <w:outlineLvl w:val="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tzone</dc:creator>
  <cp:lastModifiedBy>Вячеслав Дерюшев</cp:lastModifiedBy>
  <cp:revision>5</cp:revision>
  <dcterms:created xsi:type="dcterms:W3CDTF">2023-10-14T03:28:00Z</dcterms:created>
  <dcterms:modified xsi:type="dcterms:W3CDTF">2024-04-27T19:31:00Z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C310124376B236417616266556ED50D1_41</vt:lpwstr>
  </property>
  <property fmtid="{D5CDD505-2E9C-101B-9397-08002B2CF9AE}" pid="3" name="KSOProductBuildVer">
    <vt:lpwstr>1033-6.4.0.8550</vt:lpwstr>
  </property>
</Properties>
</file>