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0C22" w14:textId="77777777" w:rsidR="004D1052" w:rsidRDefault="004D1052">
      <w:pPr>
        <w:tabs>
          <w:tab w:val="left" w:pos="420"/>
        </w:tabs>
        <w:spacing w:line="360" w:lineRule="auto"/>
        <w:rPr>
          <w:szCs w:val="22"/>
          <w:u w:val="single"/>
        </w:rPr>
      </w:pPr>
    </w:p>
    <w:p w14:paraId="1B7D766E" w14:textId="77777777" w:rsidR="004D1052" w:rsidRDefault="00000000">
      <w:pPr>
        <w:pStyle w:val="1"/>
        <w:widowControl/>
        <w:numPr>
          <w:ilvl w:val="0"/>
          <w:numId w:val="1"/>
        </w:numPr>
        <w:tabs>
          <w:tab w:val="left" w:pos="567"/>
        </w:tabs>
        <w:adjustRightInd/>
        <w:spacing w:beforeLines="50" w:before="156" w:afterLines="50" w:after="156" w:line="360" w:lineRule="auto"/>
        <w:ind w:firstLineChars="0"/>
        <w:jc w:val="left"/>
        <w:outlineLvl w:val="0"/>
        <w:rPr>
          <w:rFonts w:hAnsi="SimSun"/>
          <w:b/>
        </w:rPr>
      </w:pPr>
      <w:commentRangeStart w:id="0"/>
      <w:r>
        <w:rPr>
          <w:rFonts w:hAnsi="SimSun" w:hint="eastAsia"/>
          <w:b/>
        </w:rPr>
        <w:t>合同</w:t>
      </w:r>
      <w:r>
        <w:rPr>
          <w:rFonts w:hAnsi="SimSun"/>
          <w:b/>
        </w:rPr>
        <w:t>成果</w:t>
      </w:r>
      <w:r>
        <w:rPr>
          <w:rFonts w:hAnsi="SimSun" w:hint="eastAsia"/>
          <w:b/>
        </w:rPr>
        <w:t>、交付</w:t>
      </w:r>
      <w:r>
        <w:rPr>
          <w:rFonts w:hAnsi="SimSun"/>
          <w:b/>
        </w:rPr>
        <w:t>及其</w:t>
      </w:r>
      <w:r>
        <w:rPr>
          <w:rFonts w:hAnsi="SimSun" w:hint="eastAsia"/>
          <w:b/>
        </w:rPr>
        <w:t>验收</w:t>
      </w:r>
      <w:commentRangeEnd w:id="0"/>
      <w:r w:rsidR="004279B9">
        <w:rPr>
          <w:rStyle w:val="CommentReference"/>
          <w:rFonts w:hAnsi="SimSun"/>
        </w:rPr>
        <w:commentReference w:id="0"/>
      </w:r>
    </w:p>
    <w:p w14:paraId="37351A07" w14:textId="77777777" w:rsidR="004D1052" w:rsidRDefault="00000000">
      <w:pPr>
        <w:pStyle w:val="1"/>
        <w:widowControl/>
        <w:numPr>
          <w:ilvl w:val="1"/>
          <w:numId w:val="1"/>
        </w:numPr>
        <w:tabs>
          <w:tab w:val="left" w:pos="567"/>
          <w:tab w:val="left" w:pos="1304"/>
        </w:tabs>
        <w:spacing w:line="360" w:lineRule="auto"/>
        <w:ind w:firstLineChars="0" w:firstLine="480"/>
        <w:outlineLvl w:val="1"/>
        <w:rPr>
          <w:rFonts w:hAnsi="SimSun"/>
        </w:rPr>
      </w:pPr>
      <w:r>
        <w:rPr>
          <w:rFonts w:hAnsi="SimSun"/>
        </w:rPr>
        <w:t>合同成果包括：</w:t>
      </w:r>
    </w:p>
    <w:p w14:paraId="0B343DA3" w14:textId="77777777" w:rsidR="004D1052" w:rsidRDefault="00000000">
      <w:pPr>
        <w:widowControl/>
        <w:numPr>
          <w:ilvl w:val="2"/>
          <w:numId w:val="2"/>
        </w:numPr>
        <w:tabs>
          <w:tab w:val="left" w:pos="567"/>
          <w:tab w:val="left" w:pos="1304"/>
          <w:tab w:val="left" w:pos="2562"/>
        </w:tabs>
        <w:spacing w:line="360" w:lineRule="auto"/>
        <w:ind w:left="-76" w:firstLine="480"/>
      </w:pPr>
      <w:r>
        <w:rPr>
          <w:szCs w:val="24"/>
        </w:rPr>
        <w:t>《需求规格说明书》</w:t>
      </w:r>
      <w:r>
        <w:rPr>
          <w:rFonts w:hint="eastAsia"/>
          <w:szCs w:val="24"/>
        </w:rPr>
        <w:t>，</w:t>
      </w:r>
      <w:r>
        <w:rPr>
          <w:szCs w:val="24"/>
        </w:rPr>
        <w:t>电子／纸介质</w:t>
      </w:r>
      <w:r>
        <w:rPr>
          <w:rFonts w:hint="eastAsia"/>
          <w:szCs w:val="24"/>
        </w:rPr>
        <w:t>，1套</w:t>
      </w:r>
    </w:p>
    <w:p w14:paraId="6E2D4771" w14:textId="77777777" w:rsidR="004D1052" w:rsidRDefault="00000000">
      <w:pPr>
        <w:widowControl/>
        <w:numPr>
          <w:ilvl w:val="2"/>
          <w:numId w:val="2"/>
        </w:numPr>
        <w:tabs>
          <w:tab w:val="left" w:pos="567"/>
          <w:tab w:val="left" w:pos="1304"/>
          <w:tab w:val="left" w:pos="2562"/>
        </w:tabs>
        <w:spacing w:line="360" w:lineRule="auto"/>
        <w:ind w:left="-76" w:firstLine="480"/>
      </w:pPr>
      <w:r>
        <w:rPr>
          <w:szCs w:val="24"/>
        </w:rPr>
        <w:t>《测试报告》</w:t>
      </w:r>
      <w:r>
        <w:rPr>
          <w:rFonts w:hint="eastAsia"/>
          <w:szCs w:val="24"/>
        </w:rPr>
        <w:t>，</w:t>
      </w:r>
      <w:r>
        <w:rPr>
          <w:szCs w:val="24"/>
        </w:rPr>
        <w:t>电子／纸介质</w:t>
      </w:r>
      <w:r>
        <w:rPr>
          <w:rFonts w:hint="eastAsia"/>
          <w:szCs w:val="24"/>
        </w:rPr>
        <w:t>，1套</w:t>
      </w:r>
    </w:p>
    <w:p w14:paraId="5A1AA0DA" w14:textId="77777777" w:rsidR="004D1052" w:rsidRDefault="00000000">
      <w:pPr>
        <w:widowControl/>
        <w:numPr>
          <w:ilvl w:val="2"/>
          <w:numId w:val="2"/>
        </w:numPr>
        <w:tabs>
          <w:tab w:val="left" w:pos="567"/>
          <w:tab w:val="left" w:pos="1304"/>
          <w:tab w:val="left" w:pos="2562"/>
        </w:tabs>
        <w:spacing w:line="360" w:lineRule="auto"/>
        <w:ind w:left="-76" w:firstLine="480"/>
      </w:pPr>
      <w:r>
        <w:rPr>
          <w:szCs w:val="24"/>
        </w:rPr>
        <w:t>《部署手册》</w:t>
      </w:r>
      <w:r>
        <w:rPr>
          <w:rFonts w:hint="eastAsia"/>
          <w:szCs w:val="24"/>
        </w:rPr>
        <w:t>，</w:t>
      </w:r>
      <w:r>
        <w:rPr>
          <w:szCs w:val="24"/>
        </w:rPr>
        <w:t>电子／纸介质</w:t>
      </w:r>
      <w:r>
        <w:rPr>
          <w:rFonts w:hint="eastAsia"/>
          <w:szCs w:val="24"/>
        </w:rPr>
        <w:t>，1套</w:t>
      </w:r>
    </w:p>
    <w:p w14:paraId="4A99AD20" w14:textId="77777777" w:rsidR="004D1052" w:rsidRDefault="00000000">
      <w:pPr>
        <w:pStyle w:val="1"/>
        <w:widowControl/>
        <w:numPr>
          <w:ilvl w:val="1"/>
          <w:numId w:val="1"/>
        </w:numPr>
        <w:tabs>
          <w:tab w:val="left" w:pos="567"/>
          <w:tab w:val="left" w:pos="1304"/>
        </w:tabs>
        <w:spacing w:line="360" w:lineRule="auto"/>
        <w:ind w:firstLineChars="0" w:firstLine="480"/>
        <w:outlineLvl w:val="1"/>
        <w:rPr>
          <w:rFonts w:hAnsi="SimSun"/>
        </w:rPr>
      </w:pPr>
      <w:r>
        <w:rPr>
          <w:rFonts w:hAnsi="SimSun" w:hint="eastAsia"/>
        </w:rPr>
        <w:t>合同成果交付</w:t>
      </w:r>
    </w:p>
    <w:p w14:paraId="04938DFA" w14:textId="77777777" w:rsidR="004D1052" w:rsidRDefault="00000000">
      <w:pPr>
        <w:pStyle w:val="1"/>
        <w:widowControl/>
        <w:numPr>
          <w:ilvl w:val="2"/>
          <w:numId w:val="1"/>
        </w:numPr>
        <w:tabs>
          <w:tab w:val="left" w:pos="567"/>
          <w:tab w:val="left" w:pos="1304"/>
          <w:tab w:val="left" w:pos="2562"/>
        </w:tabs>
        <w:spacing w:line="360" w:lineRule="auto"/>
        <w:ind w:left="-76" w:firstLineChars="0" w:firstLine="480"/>
        <w:rPr>
          <w:rFonts w:hAnsi="SimSun"/>
          <w:u w:val="single"/>
        </w:rPr>
      </w:pPr>
      <w:r>
        <w:rPr>
          <w:rFonts w:hAnsi="SimSun" w:hint="eastAsia"/>
        </w:rPr>
        <w:t>交付</w:t>
      </w:r>
      <w:r>
        <w:rPr>
          <w:rFonts w:hAnsi="SimSun"/>
        </w:rPr>
        <w:t>时间：</w:t>
      </w:r>
      <w:r>
        <w:rPr>
          <w:rFonts w:hint="eastAsia"/>
          <w:u w:val="single"/>
        </w:rPr>
        <w:t xml:space="preserve"> 2023年11月20日前</w:t>
      </w:r>
      <w:r>
        <w:rPr>
          <w:rFonts w:hAnsi="SimSun"/>
          <w:u w:val="single"/>
        </w:rPr>
        <w:t xml:space="preserve"> </w:t>
      </w:r>
    </w:p>
    <w:p w14:paraId="2BBA7222" w14:textId="77777777" w:rsidR="004D1052" w:rsidRDefault="00000000">
      <w:pPr>
        <w:pStyle w:val="1"/>
        <w:widowControl/>
        <w:numPr>
          <w:ilvl w:val="2"/>
          <w:numId w:val="1"/>
        </w:numPr>
        <w:tabs>
          <w:tab w:val="left" w:pos="567"/>
          <w:tab w:val="left" w:pos="1304"/>
          <w:tab w:val="left" w:pos="2562"/>
        </w:tabs>
        <w:spacing w:line="360" w:lineRule="auto"/>
        <w:ind w:left="-76" w:firstLineChars="0" w:firstLine="480"/>
        <w:rPr>
          <w:rFonts w:hAnsi="SimSun"/>
          <w:u w:val="single"/>
        </w:rPr>
      </w:pPr>
      <w:r>
        <w:rPr>
          <w:rFonts w:hAnsi="SimSun" w:hint="eastAsia"/>
        </w:rPr>
        <w:t>交付</w:t>
      </w:r>
      <w:r>
        <w:rPr>
          <w:rFonts w:hAnsi="SimSun"/>
        </w:rPr>
        <w:t>地点：</w:t>
      </w:r>
      <w:r>
        <w:rPr>
          <w:rFonts w:hAnsi="SimSun" w:hint="eastAsia"/>
          <w:u w:val="single"/>
        </w:rPr>
        <w:t xml:space="preserve"> 北京 </w:t>
      </w:r>
    </w:p>
    <w:p w14:paraId="2AB952AD" w14:textId="77777777" w:rsidR="004D1052" w:rsidRDefault="00000000">
      <w:pPr>
        <w:pStyle w:val="1"/>
        <w:widowControl/>
        <w:numPr>
          <w:ilvl w:val="1"/>
          <w:numId w:val="1"/>
        </w:numPr>
        <w:tabs>
          <w:tab w:val="left" w:pos="567"/>
          <w:tab w:val="left" w:pos="1304"/>
        </w:tabs>
        <w:spacing w:line="360" w:lineRule="auto"/>
        <w:ind w:firstLineChars="0" w:firstLine="480"/>
        <w:outlineLvl w:val="1"/>
        <w:rPr>
          <w:rFonts w:hAnsi="SimSun"/>
        </w:rPr>
      </w:pPr>
      <w:r>
        <w:rPr>
          <w:rFonts w:hAnsi="SimSun" w:hint="eastAsia"/>
        </w:rPr>
        <w:t>合同成果验收</w:t>
      </w:r>
    </w:p>
    <w:p w14:paraId="22A585E6" w14:textId="77777777" w:rsidR="004D1052" w:rsidRDefault="00000000">
      <w:pPr>
        <w:pStyle w:val="1"/>
        <w:widowControl/>
        <w:numPr>
          <w:ilvl w:val="2"/>
          <w:numId w:val="1"/>
        </w:numPr>
        <w:tabs>
          <w:tab w:val="left" w:pos="420"/>
          <w:tab w:val="left" w:pos="567"/>
          <w:tab w:val="left" w:pos="1304"/>
          <w:tab w:val="left" w:pos="2562"/>
        </w:tabs>
        <w:spacing w:line="360" w:lineRule="auto"/>
        <w:ind w:left="-76" w:firstLineChars="0" w:firstLine="480"/>
        <w:rPr>
          <w:rFonts w:hAnsi="SimSun"/>
        </w:rPr>
      </w:pPr>
      <w:r>
        <w:rPr>
          <w:rFonts w:hAnsi="SimSun"/>
        </w:rPr>
        <w:t>验收将</w:t>
      </w:r>
      <w:r>
        <w:rPr>
          <w:rFonts w:hAnsi="SimSun" w:hint="eastAsia"/>
        </w:rPr>
        <w:t>依据</w:t>
      </w:r>
      <w:r>
        <w:rPr>
          <w:rFonts w:hAnsi="SimSun"/>
        </w:rPr>
        <w:t>合同及其附件、国家相关规范</w:t>
      </w:r>
      <w:r>
        <w:rPr>
          <w:rFonts w:hAnsi="SimSun" w:hint="eastAsia"/>
        </w:rPr>
        <w:t>、标准，以及中国科协相关管理规定</w:t>
      </w:r>
      <w:r>
        <w:rPr>
          <w:rFonts w:hAnsi="SimSun"/>
        </w:rPr>
        <w:t>，由甲方及/或甲方委托的第三方按甲方</w:t>
      </w:r>
      <w:r>
        <w:rPr>
          <w:rFonts w:hAnsi="SimSun" w:hint="eastAsia"/>
        </w:rPr>
        <w:t>确</w:t>
      </w:r>
      <w:r>
        <w:rPr>
          <w:rFonts w:hAnsi="SimSun"/>
        </w:rPr>
        <w:t>定的时间和</w:t>
      </w:r>
      <w:r>
        <w:rPr>
          <w:rFonts w:hAnsi="SimSun" w:hint="eastAsia"/>
        </w:rPr>
        <w:t>方</w:t>
      </w:r>
      <w:r>
        <w:rPr>
          <w:rFonts w:hAnsi="SimSun"/>
        </w:rPr>
        <w:t>式进行验收。</w:t>
      </w:r>
    </w:p>
    <w:p w14:paraId="430E943B" w14:textId="77777777" w:rsidR="004D1052" w:rsidRDefault="00000000">
      <w:pPr>
        <w:pStyle w:val="1"/>
        <w:widowControl/>
        <w:numPr>
          <w:ilvl w:val="2"/>
          <w:numId w:val="1"/>
        </w:numPr>
        <w:tabs>
          <w:tab w:val="left" w:pos="420"/>
          <w:tab w:val="left" w:pos="567"/>
          <w:tab w:val="left" w:pos="1304"/>
          <w:tab w:val="left" w:pos="2562"/>
        </w:tabs>
        <w:spacing w:line="360" w:lineRule="auto"/>
        <w:ind w:left="-76" w:firstLineChars="0" w:firstLine="480"/>
        <w:rPr>
          <w:rFonts w:hAnsi="SimSun"/>
        </w:rPr>
      </w:pPr>
      <w:r>
        <w:rPr>
          <w:rFonts w:hAnsi="SimSun" w:hint="eastAsia"/>
        </w:rPr>
        <w:t>具体验收标准和流程：乙方依约完成项目服务内容，并须符合合同约定及甲方要求，提交相关成果证明材料，参与甲方组织的验收评审。</w:t>
      </w:r>
    </w:p>
    <w:p w14:paraId="215986CF" w14:textId="77777777" w:rsidR="004D1052" w:rsidRDefault="00000000">
      <w:pPr>
        <w:pStyle w:val="1"/>
        <w:widowControl/>
        <w:numPr>
          <w:ilvl w:val="2"/>
          <w:numId w:val="1"/>
        </w:numPr>
        <w:tabs>
          <w:tab w:val="left" w:pos="420"/>
          <w:tab w:val="left" w:pos="567"/>
          <w:tab w:val="left" w:pos="1304"/>
          <w:tab w:val="left" w:pos="2562"/>
        </w:tabs>
        <w:spacing w:line="360" w:lineRule="auto"/>
        <w:ind w:left="-76" w:firstLineChars="0" w:firstLine="480"/>
        <w:rPr>
          <w:rFonts w:hAnsi="SimSun"/>
        </w:rPr>
      </w:pPr>
      <w:r>
        <w:rPr>
          <w:rFonts w:hAnsi="SimSun" w:hint="eastAsia"/>
        </w:rPr>
        <w:t>乙方应提交的验收资料：</w:t>
      </w:r>
      <w:r>
        <w:rPr>
          <w:rFonts w:hAnsi="SimSun" w:hint="eastAsia"/>
          <w:u w:val="single"/>
        </w:rPr>
        <w:t>包括但不限于政府采购项目合同书，招、投标文件，项目检查、验收通知，项目执行总结报告、绩效自评报告，合同第三条约定的合同成果材料，实物材料、文字总结材料、影音资料及现场情况的有关资料，以及甲方要求的其他项目过程及成果证明材料。</w:t>
      </w:r>
    </w:p>
    <w:p w14:paraId="029571D8" w14:textId="77777777" w:rsidR="004D1052" w:rsidRDefault="00000000">
      <w:pPr>
        <w:pStyle w:val="1"/>
        <w:widowControl/>
        <w:numPr>
          <w:ilvl w:val="2"/>
          <w:numId w:val="1"/>
        </w:numPr>
        <w:tabs>
          <w:tab w:val="left" w:pos="420"/>
          <w:tab w:val="left" w:pos="567"/>
          <w:tab w:val="left" w:pos="1304"/>
          <w:tab w:val="left" w:pos="2562"/>
        </w:tabs>
        <w:spacing w:line="360" w:lineRule="auto"/>
        <w:ind w:left="-76" w:firstLineChars="0" w:firstLine="480"/>
        <w:rPr>
          <w:rFonts w:hAnsi="SimSun"/>
        </w:rPr>
      </w:pPr>
      <w:r>
        <w:rPr>
          <w:rFonts w:hAnsi="SimSun"/>
        </w:rPr>
        <w:t>验收合格的，由甲方</w:t>
      </w:r>
      <w:r>
        <w:rPr>
          <w:rFonts w:hAnsi="SimSun" w:hint="eastAsia"/>
        </w:rPr>
        <w:t>及/</w:t>
      </w:r>
      <w:r>
        <w:rPr>
          <w:rFonts w:hAnsi="SimSun"/>
        </w:rPr>
        <w:t>或甲方委托的第三方出具项目验收证明。</w:t>
      </w:r>
      <w:r>
        <w:rPr>
          <w:rFonts w:hAnsi="SimSun" w:hint="eastAsia"/>
        </w:rPr>
        <w:t>验收不合格的，乙方应依约承担违约责任。</w:t>
      </w:r>
    </w:p>
    <w:p w14:paraId="3A3D1940" w14:textId="77777777" w:rsidR="004D1052" w:rsidRDefault="00000000">
      <w:pPr>
        <w:pStyle w:val="1"/>
        <w:widowControl/>
        <w:numPr>
          <w:ilvl w:val="1"/>
          <w:numId w:val="1"/>
        </w:numPr>
        <w:tabs>
          <w:tab w:val="left" w:pos="567"/>
          <w:tab w:val="left" w:pos="1304"/>
        </w:tabs>
        <w:spacing w:line="360" w:lineRule="auto"/>
        <w:ind w:firstLineChars="0" w:firstLine="480"/>
        <w:outlineLvl w:val="1"/>
        <w:rPr>
          <w:rFonts w:hAnsi="SimSun"/>
        </w:rPr>
      </w:pPr>
      <w:r>
        <w:rPr>
          <w:rFonts w:hAnsi="SimSun" w:hint="eastAsia"/>
        </w:rPr>
        <w:t>资产清单</w:t>
      </w:r>
    </w:p>
    <w:p w14:paraId="54FE856B" w14:textId="77777777" w:rsidR="004D1052" w:rsidRDefault="00000000">
      <w:pPr>
        <w:pStyle w:val="1"/>
        <w:tabs>
          <w:tab w:val="left" w:pos="0"/>
          <w:tab w:val="left" w:pos="420"/>
        </w:tabs>
        <w:spacing w:line="360" w:lineRule="auto"/>
        <w:ind w:firstLine="480"/>
        <w:rPr>
          <w:rFonts w:hAnsi="SimSun"/>
        </w:rPr>
      </w:pPr>
      <w:r>
        <w:rPr>
          <w:rFonts w:hAnsi="SimSun" w:cs="SimSun" w:hint="eastAsia"/>
        </w:rPr>
        <w:t>乙方应在交付合同成果的同时</w:t>
      </w:r>
      <w:r>
        <w:rPr>
          <w:rFonts w:hAnsi="SimSun" w:hint="eastAsia"/>
          <w:bCs/>
          <w:kern w:val="0"/>
        </w:rPr>
        <w:t>向甲方提交资产清单，</w:t>
      </w:r>
      <w:r>
        <w:rPr>
          <w:rFonts w:hAnsi="SimSun" w:cs="SimSun" w:hint="eastAsia"/>
        </w:rPr>
        <w:t>列明</w:t>
      </w:r>
      <w:r>
        <w:rPr>
          <w:rFonts w:hAnsi="SimSun" w:hint="eastAsia"/>
          <w:bCs/>
          <w:kern w:val="0"/>
        </w:rPr>
        <w:t>本合同项下形成的资产（固定资产、无形资产等）的名称、品牌、规格、数量等。</w:t>
      </w:r>
    </w:p>
    <w:p w14:paraId="43512A32" w14:textId="77777777" w:rsidR="004D1052" w:rsidRDefault="00000000">
      <w:pPr>
        <w:pStyle w:val="1"/>
        <w:widowControl/>
        <w:numPr>
          <w:ilvl w:val="0"/>
          <w:numId w:val="1"/>
        </w:numPr>
        <w:tabs>
          <w:tab w:val="left" w:pos="567"/>
        </w:tabs>
        <w:adjustRightInd/>
        <w:spacing w:beforeLines="50" w:before="156" w:afterLines="50" w:after="156" w:line="360" w:lineRule="auto"/>
        <w:ind w:firstLineChars="0"/>
        <w:jc w:val="left"/>
        <w:outlineLvl w:val="0"/>
        <w:rPr>
          <w:rFonts w:hAnsi="SimSun"/>
          <w:b/>
        </w:rPr>
      </w:pPr>
      <w:r>
        <w:rPr>
          <w:rFonts w:hAnsi="SimSun" w:hint="eastAsia"/>
          <w:b/>
        </w:rPr>
        <w:t>履约保证金</w:t>
      </w:r>
    </w:p>
    <w:p w14:paraId="1BCC8F37" w14:textId="77777777" w:rsidR="004D1052" w:rsidRDefault="00000000">
      <w:pPr>
        <w:tabs>
          <w:tab w:val="left" w:pos="420"/>
          <w:tab w:val="left" w:pos="567"/>
          <w:tab w:val="left" w:pos="1304"/>
        </w:tabs>
        <w:spacing w:line="360" w:lineRule="auto"/>
        <w:ind w:firstLine="480"/>
      </w:pPr>
      <w:r>
        <w:rPr>
          <w:rFonts w:hint="eastAsia"/>
        </w:rPr>
        <w:t>乙方在合同签订后5个工作日内向甲方账户提交相当于合同价款【10】%，即人民币【大写：】元整（￥【】元）的款项作为履约保证金。</w:t>
      </w:r>
    </w:p>
    <w:p w14:paraId="119EFCA9" w14:textId="77777777" w:rsidR="004D1052" w:rsidRDefault="00000000">
      <w:pPr>
        <w:tabs>
          <w:tab w:val="left" w:pos="420"/>
          <w:tab w:val="left" w:pos="567"/>
          <w:tab w:val="left" w:pos="1304"/>
        </w:tabs>
        <w:spacing w:line="360" w:lineRule="auto"/>
        <w:ind w:firstLine="480"/>
      </w:pPr>
      <w:r>
        <w:rPr>
          <w:rFonts w:hint="eastAsia"/>
        </w:rPr>
        <w:t>甲方账户信息</w:t>
      </w:r>
    </w:p>
    <w:p w14:paraId="1B4FA468" w14:textId="77777777" w:rsidR="004D1052" w:rsidRDefault="00000000">
      <w:pPr>
        <w:pStyle w:val="1"/>
        <w:tabs>
          <w:tab w:val="left" w:pos="420"/>
          <w:tab w:val="left" w:pos="567"/>
          <w:tab w:val="left" w:pos="1304"/>
        </w:tabs>
        <w:spacing w:line="360" w:lineRule="auto"/>
        <w:ind w:firstLine="480"/>
        <w:rPr>
          <w:rFonts w:hAnsi="SimSun"/>
        </w:rPr>
      </w:pPr>
      <w:r>
        <w:rPr>
          <w:rFonts w:hAnsi="SimSun" w:hint="eastAsia"/>
        </w:rPr>
        <w:t>甲方应在验收通过后【15】天内将履约保证金无息退还乙方。若甲方未在规</w:t>
      </w:r>
      <w:r>
        <w:rPr>
          <w:rFonts w:hAnsi="SimSun" w:hint="eastAsia"/>
        </w:rPr>
        <w:lastRenderedPageBreak/>
        <w:t>定日期退还履约保证金，每超出一天需支付履约保证金额的【1%】作为乙方补偿。</w:t>
      </w:r>
    </w:p>
    <w:p w14:paraId="5962E86C" w14:textId="77777777" w:rsidR="004D1052" w:rsidRDefault="004D1052"/>
    <w:sectPr w:rsidR="004D1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Вячеслав Дерюшев" w:date="2024-06-18T15:14:00Z" w:initials="ВД">
    <w:p w14:paraId="7BEF36B5" w14:textId="6DB68C29" w:rsidR="004279B9" w:rsidRDefault="004279B9">
      <w:pPr>
        <w:pStyle w:val="CommentText"/>
      </w:pPr>
      <w:r>
        <w:rPr>
          <w:rStyle w:val="CommentReference"/>
        </w:rPr>
        <w:annotationRef/>
      </w:r>
      <w:r>
        <w:t>asdsadas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BEF36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C28C9FC" w16cex:dateUtc="2024-06-18T1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BEF36B5" w16cid:durableId="1C28C9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C29C7" w14:textId="77777777" w:rsidR="00000000" w:rsidRDefault="00000000">
      <w:pPr>
        <w:spacing w:line="240" w:lineRule="auto"/>
      </w:pPr>
      <w:r>
        <w:separator/>
      </w:r>
    </w:p>
  </w:endnote>
  <w:endnote w:type="continuationSeparator" w:id="0">
    <w:p w14:paraId="118539CD" w14:textId="77777777" w:rsidR="00000000" w:rsidRDefault="00000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3F9E8" w14:textId="77777777" w:rsidR="00000000" w:rsidRDefault="00000000">
      <w:r>
        <w:separator/>
      </w:r>
    </w:p>
  </w:footnote>
  <w:footnote w:type="continuationSeparator" w:id="0">
    <w:p w14:paraId="153A18B1" w14:textId="77777777" w:rsidR="00000000" w:rsidRDefault="00000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A9B82"/>
    <w:multiLevelType w:val="multilevel"/>
    <w:tmpl w:val="27EA9B82"/>
    <w:lvl w:ilvl="0">
      <w:start w:val="1"/>
      <w:numFmt w:val="chineseCounting"/>
      <w:suff w:val="space"/>
      <w:lvlText w:val="第%1条"/>
      <w:lvlJc w:val="left"/>
      <w:pPr>
        <w:tabs>
          <w:tab w:val="left" w:pos="1304"/>
        </w:tabs>
        <w:ind w:left="-76" w:firstLine="556"/>
      </w:pPr>
      <w:rPr>
        <w:rFonts w:ascii="SimSun" w:eastAsia="SimSun" w:hAnsi="SimSun" w:cs="SimSun" w:hint="eastAsia"/>
      </w:rPr>
    </w:lvl>
    <w:lvl w:ilvl="1">
      <w:start w:val="1"/>
      <w:numFmt w:val="chineseCounting"/>
      <w:suff w:val="space"/>
      <w:lvlText w:val="(%2)"/>
      <w:lvlJc w:val="left"/>
      <w:pPr>
        <w:tabs>
          <w:tab w:val="left" w:pos="420"/>
        </w:tabs>
        <w:ind w:left="-76" w:firstLine="556"/>
      </w:pPr>
      <w:rPr>
        <w:rFonts w:ascii="SimSun" w:eastAsia="SimSun" w:hAnsi="SimSun" w:cs="SimSun" w:hint="eastAsia"/>
      </w:rPr>
    </w:lvl>
    <w:lvl w:ilvl="2">
      <w:start w:val="1"/>
      <w:numFmt w:val="decimal"/>
      <w:suff w:val="space"/>
      <w:lvlText w:val="%3."/>
      <w:lvlJc w:val="left"/>
      <w:pPr>
        <w:tabs>
          <w:tab w:val="left" w:pos="3989"/>
        </w:tabs>
        <w:ind w:left="1363" w:firstLine="556"/>
      </w:pPr>
      <w:rPr>
        <w:rFonts w:ascii="SimSun" w:eastAsia="SimSun" w:hAnsi="SimSun" w:cs="SimSun" w:hint="eastAsia"/>
      </w:rPr>
    </w:lvl>
    <w:lvl w:ilvl="3">
      <w:start w:val="1"/>
      <w:numFmt w:val="decimal"/>
      <w:suff w:val="space"/>
      <w:lvlText w:val="(%4)"/>
      <w:lvlJc w:val="left"/>
      <w:pPr>
        <w:tabs>
          <w:tab w:val="left" w:pos="431"/>
        </w:tabs>
        <w:ind w:left="-65" w:firstLine="556"/>
      </w:pPr>
      <w:rPr>
        <w:rFonts w:ascii="SimSun" w:eastAsia="SimSun" w:hAnsi="SimSun" w:cs="SimSun" w:hint="eastAsia"/>
      </w:rPr>
    </w:lvl>
    <w:lvl w:ilvl="4">
      <w:start w:val="1"/>
      <w:numFmt w:val="decimal"/>
      <w:suff w:val="nothing"/>
      <w:lvlText w:val="%5）"/>
      <w:lvlJc w:val="left"/>
      <w:pPr>
        <w:ind w:left="-76" w:firstLine="402"/>
      </w:pPr>
      <w:rPr>
        <w:rFonts w:cs="Times New Roman"/>
      </w:rPr>
    </w:lvl>
    <w:lvl w:ilvl="5">
      <w:start w:val="1"/>
      <w:numFmt w:val="lowerLetter"/>
      <w:suff w:val="nothing"/>
      <w:lvlText w:val="%6．"/>
      <w:lvlJc w:val="left"/>
      <w:pPr>
        <w:ind w:left="-76" w:firstLine="402"/>
      </w:pPr>
      <w:rPr>
        <w:rFonts w:cs="Times New Roman"/>
      </w:rPr>
    </w:lvl>
    <w:lvl w:ilvl="6">
      <w:start w:val="1"/>
      <w:numFmt w:val="lowerLetter"/>
      <w:suff w:val="nothing"/>
      <w:lvlText w:val="%7）"/>
      <w:lvlJc w:val="left"/>
      <w:pPr>
        <w:ind w:left="-76" w:firstLine="402"/>
      </w:pPr>
      <w:rPr>
        <w:rFonts w:cs="Times New Roman"/>
      </w:rPr>
    </w:lvl>
    <w:lvl w:ilvl="7">
      <w:start w:val="1"/>
      <w:numFmt w:val="lowerRoman"/>
      <w:suff w:val="nothing"/>
      <w:lvlText w:val="%8. "/>
      <w:lvlJc w:val="left"/>
      <w:pPr>
        <w:ind w:left="-76" w:firstLine="402"/>
      </w:pPr>
      <w:rPr>
        <w:rFonts w:cs="Times New Roman"/>
      </w:rPr>
    </w:lvl>
    <w:lvl w:ilvl="8">
      <w:start w:val="1"/>
      <w:numFmt w:val="lowerRoman"/>
      <w:suff w:val="nothing"/>
      <w:lvlText w:val="%9）"/>
      <w:lvlJc w:val="left"/>
      <w:pPr>
        <w:ind w:left="-76" w:firstLine="402"/>
      </w:pPr>
      <w:rPr>
        <w:rFonts w:cs="Times New Roman"/>
      </w:rPr>
    </w:lvl>
  </w:abstractNum>
  <w:num w:numId="1" w16cid:durableId="1489512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03185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Вячеслав Дерюшев">
    <w15:presenceInfo w15:providerId="Windows Live" w15:userId="2453de71f1882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BFB56A"/>
    <w:rsid w:val="004279B9"/>
    <w:rsid w:val="004D1052"/>
    <w:rsid w:val="00D32716"/>
    <w:rsid w:val="7FBFB56A"/>
    <w:rsid w:val="FB59A62D"/>
    <w:rsid w:val="00E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D05770"/>
  <w15:docId w15:val="{47F7C93B-B87F-4FF3-B501-04686F6A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PlainText"/>
    <w:qFormat/>
    <w:pPr>
      <w:widowControl w:val="0"/>
      <w:adjustRightInd w:val="0"/>
      <w:snapToGrid w:val="0"/>
      <w:spacing w:line="300" w:lineRule="auto"/>
      <w:jc w:val="both"/>
    </w:pPr>
    <w:rPr>
      <w:rFonts w:ascii="SimSun" w:eastAsia="SimSun" w:hAnsi="SimSun" w:cs="Times New Roman"/>
      <w:kern w:val="2"/>
      <w:sz w:val="24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uiPriority w:val="99"/>
    <w:qFormat/>
    <w:pPr>
      <w:widowControl/>
      <w:adjustRightInd/>
      <w:snapToGrid/>
      <w:spacing w:line="240" w:lineRule="auto"/>
      <w:jc w:val="left"/>
    </w:pPr>
    <w:rPr>
      <w:rFonts w:hAnsi="Courier New"/>
      <w:sz w:val="21"/>
      <w:szCs w:val="20"/>
    </w:rPr>
  </w:style>
  <w:style w:type="paragraph" w:customStyle="1" w:styleId="1">
    <w:name w:val="列出段落1"/>
    <w:basedOn w:val="Normal"/>
    <w:qFormat/>
    <w:pPr>
      <w:ind w:firstLineChars="200" w:firstLine="420"/>
    </w:pPr>
    <w:rPr>
      <w:rFonts w:hAnsi="Calibri"/>
    </w:rPr>
  </w:style>
  <w:style w:type="character" w:styleId="CommentReference">
    <w:name w:val="annotation reference"/>
    <w:basedOn w:val="DefaultParagraphFont"/>
    <w:rsid w:val="004279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7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279B9"/>
    <w:rPr>
      <w:rFonts w:ascii="SimSun" w:eastAsia="SimSun" w:hAnsi="SimSun" w:cs="Times New Roman"/>
      <w:kern w:val="2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427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79B9"/>
    <w:rPr>
      <w:rFonts w:ascii="SimSun" w:eastAsia="SimSun" w:hAnsi="SimSun" w:cs="Times New Roman"/>
      <w:b/>
      <w:bCs/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萱萱</dc:creator>
  <cp:lastModifiedBy>Вячеслав Дерюшев</cp:lastModifiedBy>
  <cp:revision>2</cp:revision>
  <dcterms:created xsi:type="dcterms:W3CDTF">2024-06-18T10:23:00Z</dcterms:created>
  <dcterms:modified xsi:type="dcterms:W3CDTF">2024-06-18T12:14:00Z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D2E5CE948217F970BBEF706688F9F52F_41</vt:lpwstr>
  </property>
</Properties>
</file>