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5"/>
        <w:gridCol w:w="1851"/>
        <w:gridCol w:w="1851"/>
        <w:gridCol w:w="1851"/>
      </w:tblGrid>
      <w:tr>
        <w:trPr>
          <w:cantSplit/>
          <w:tblHeader/>
          <w:jc w:val="center"/>
        </w:trPr>
        <w:tc>
          <w:tcPr>
            <w:tcW w:w="12958" w:type="dxa"/>
            <w:gridSpan w:val="4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Table 14.3.1.1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Overview of Adverse Events - Phase I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Safety Analysis Set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</w:p>
        </w:tc>
      </w:tr>
      <w:tr>
        <w:trPr>
          <w:cantSplit/>
          <w:tblHeader/>
          <w:jc w:val="center"/>
        </w:trPr>
        <w:tc>
          <w:tcPr>
            <w:tcW w:w="7405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Cohort 1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(N=X)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851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Cohort 2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(N=X)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851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Total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(N=X)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Adverse Events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related to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LAE001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afuresertib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prednisone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Severity of TEAEs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Mild/ Grade 1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Moderate/ Grade 2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Severe/ Grade 3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Life-threatening/ Grade 4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ind w:left="34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Death/ Grade 5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with ≥ grade 3 toxicity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with ≥ grade 3 toxicity and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serious TEAEs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serious TEAEs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leading to discontinuation of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12958" w:type="dxa"/>
            <w:gridSpan w:val="4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Data cut-off = 15OCT2022.</w:t>
            </w:r>
          </w:p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Abbreviations: n = Number of patients, AE = Adverse event, AESI = AE of special interest, TEAE = Treatment-Emergent AE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Note: Percentages are based on the total number of patients in the analysis set for each dose cohort and total column.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Note: Adverse Events (AEs) are coded using MedDRA Dictionary, version 22.0.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Note: Severity of AEs are graded using the NCI-CTCAE (Version 5.0) toxicity grades.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>
      <w:pPr>
        <w:adjustRightInd w:val="0"/>
        <w:spacing w:beforeLines="0" w:afterLines="0"/>
        <w:rPr>
          <w:rFonts w:hint="default" w:ascii="Courier New" w:cs="Courier New"/>
          <w:color w:val="000000"/>
          <w:sz w:val="16"/>
          <w:szCs w:val="16"/>
        </w:rPr>
        <w:sectPr>
          <w:headerReference r:id="rId4" w:type="default"/>
          <w:footerReference r:id="rId5" w:type="default"/>
          <w:pgSz w:w="15840" w:h="12240" w:orient="landscape"/>
          <w:pgMar w:top="1440" w:right="1440" w:bottom="1440" w:left="1440" w:header="1440" w:footer="1440" w:gutter="0"/>
          <w:cols w:space="720" w:num="1"/>
        </w:sect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5"/>
        <w:gridCol w:w="1851"/>
        <w:gridCol w:w="1851"/>
        <w:gridCol w:w="1851"/>
      </w:tblGrid>
      <w:tr>
        <w:trPr>
          <w:cantSplit/>
          <w:tblHeader/>
          <w:jc w:val="center"/>
        </w:trPr>
        <w:tc>
          <w:tcPr>
            <w:tcW w:w="12958" w:type="dxa"/>
            <w:gridSpan w:val="4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Table 14.3.1.1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Overview of Adverse Events - Phase I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Safety Analysis Set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bookmarkStart w:id="2" w:name="_GoBack"/>
            <w:bookmarkEnd w:id="2"/>
          </w:p>
        </w:tc>
      </w:tr>
      <w:tr>
        <w:trPr>
          <w:cantSplit/>
          <w:tblHeader/>
          <w:jc w:val="center"/>
        </w:trPr>
        <w:tc>
          <w:tcPr>
            <w:tcW w:w="7405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Cohort 1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(N=8)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851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Cohort 2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(N=6)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851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Total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(N=14)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 (%)</w:t>
            </w: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leading to discontinuation of any study drug and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leading to discontinuation of study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leading to discontinuation of study and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leading to death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TEAEs leading to death and related to any study drug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treatment emergent AESIs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Any related treatment emergent AESIs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keepNext/>
              <w:adjustRightInd w:val="0"/>
              <w:spacing w:beforeLines="0" w:afterLines="0" w:line="181" w:lineRule="exact"/>
              <w:jc w:val="center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</w:tc>
      </w:tr>
      <w:tr>
        <w:trPr>
          <w:cantSplit/>
          <w:jc w:val="center"/>
        </w:trPr>
        <w:tc>
          <w:tcPr>
            <w:tcW w:w="12958" w:type="dxa"/>
            <w:gridSpan w:val="4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djustRightInd w:val="0"/>
              <w:spacing w:beforeLines="0" w:afterLines="0" w:line="181" w:lineRule="exact"/>
              <w:rPr>
                <w:rFonts w:hint="default" w:ascii="Courier New" w:cs="Courier New"/>
                <w:color w:val="000000"/>
                <w:sz w:val="16"/>
                <w:szCs w:val="16"/>
              </w:rPr>
            </w:pPr>
          </w:p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Data cut-off = 15OCT2022.</w:t>
            </w:r>
          </w:p>
          <w:p>
            <w:pPr>
              <w:adjustRightInd w:val="0"/>
              <w:spacing w:beforeLines="0" w:afterLines="0" w:line="181" w:lineRule="exact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Abbreviations: n = Number of patients, AE = Adverse event, AESI = AE of special interest, TEAE = Treatment-Emergent AE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Note: Percentages are based on the total number of patients in the analysis set for each dose cohort and total column.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Note: Adverse Events (AEs) are coded using MedDRA Dictionary, version 22.0.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Note: Severity of AEs are graded using the NCI-CTCAE (Version 5.0) toxicity grades.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Note: Patients with multiple occurrences of TEAEs will have the TEAE with the highest grade included in this summary.</w:t>
            </w:r>
          </w:p>
          <w:p>
            <w:pPr>
              <w:adjustRightInd w:val="0"/>
              <w:spacing w:beforeLines="0" w:afterLines="0" w:line="181" w:lineRule="exact"/>
              <w:ind w:left="580" w:hanging="580"/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16"/>
                <w:szCs w:val="16"/>
              </w:rPr>
              <w:t>Note: Related = �Unlikely�, �Possible�, �Probable�, �Very Likely/Certain�; Not Related = �Unrelated�.</w:t>
            </w:r>
          </w:p>
        </w:tc>
      </w:tr>
    </w:tbl>
    <w:p>
      <w:pPr>
        <w:spacing w:beforeLines="0" w:afterLines="0"/>
        <w:rPr>
          <w:rFonts w:hint="default"/>
          <w:sz w:val="20"/>
          <w:szCs w:val="20"/>
        </w:rPr>
      </w:pPr>
    </w:p>
    <w:sectPr>
      <w:headerReference r:id="rId6" w:type="default"/>
      <w:footerReference r:id="rId7" w:type="default"/>
      <w:pgSz w:w="15840" w:h="12240" w:orient="landscape"/>
      <w:pgMar w:top="1440" w:right="1440" w:bottom="1440" w:left="1440" w:header="1440" w:footer="144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0"/>
      <w:gridCol w:w="12950"/>
    </w:tblGrid>
    <w:tr>
      <w:trPr>
        <w:gridAfter w:val="1"/>
        <w:wAfter w:w="12950" w:type="dxa"/>
        <w:cantSplit/>
        <w:jc w:val="center"/>
      </w:trPr>
      <w:tc>
        <w:tcPr>
          <w:tcW w:w="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21" w:lineRule="exact"/>
            <w:jc w:val="center"/>
            <w:rPr>
              <w:rFonts w:hint="default" w:ascii="Courier" w:cs="Courier"/>
              <w:color w:val="000000"/>
              <w:sz w:val="2"/>
              <w:szCs w:val="2"/>
            </w:rPr>
          </w:pPr>
        </w:p>
      </w:tc>
    </w:tr>
    <w:tr>
      <w:trPr>
        <w:cantSplit/>
        <w:jc w:val="center"/>
      </w:trPr>
      <w:tc>
        <w:tcPr>
          <w:tcW w:w="12960" w:type="dxa"/>
          <w:gridSpan w:val="2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/>
            <w:rPr>
              <w:rFonts w:hint="default" w:ascii="Courier New" w:hAnsi="Courier New" w:cs="Courier New"/>
              <w:color w:val="000000"/>
              <w:sz w:val="16"/>
              <w:szCs w:val="16"/>
            </w:rPr>
          </w:pPr>
          <w:r>
            <w:rPr>
              <w:rFonts w:hint="default" w:ascii="Courier New" w:hAnsi="Courier New" w:cs="Courier New"/>
              <w:color w:val="000000"/>
              <w:sz w:val="16"/>
              <w:szCs w:val="16"/>
            </w:rPr>
            <w:t>[Source: LAEKNA_LIMITED\AFURESERTIB\BZA46559\BIOSTATISTICS\PRODUCTION\TABLES\PHASE_I_FINAL\T_AE.SAS] IQVIA 19JAN2023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0"/>
      <w:gridCol w:w="12950"/>
    </w:tblGrid>
    <w:tr>
      <w:trPr>
        <w:gridAfter w:val="1"/>
        <w:wAfter w:w="12950" w:type="dxa"/>
        <w:cantSplit/>
        <w:jc w:val="center"/>
      </w:trPr>
      <w:tc>
        <w:tcPr>
          <w:tcW w:w="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21" w:lineRule="exact"/>
            <w:jc w:val="center"/>
            <w:rPr>
              <w:rFonts w:hint="default" w:ascii="Courier" w:cs="Courier"/>
              <w:color w:val="000000"/>
              <w:sz w:val="2"/>
              <w:szCs w:val="2"/>
            </w:rPr>
          </w:pPr>
        </w:p>
      </w:tc>
    </w:tr>
    <w:tr>
      <w:trPr>
        <w:cantSplit/>
        <w:jc w:val="center"/>
      </w:trPr>
      <w:tc>
        <w:tcPr>
          <w:tcW w:w="12960" w:type="dxa"/>
          <w:gridSpan w:val="2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/>
            <w:rPr>
              <w:rFonts w:hint="default" w:ascii="Courier New" w:hAnsi="Courier New" w:cs="Courier New"/>
              <w:color w:val="000000"/>
              <w:sz w:val="16"/>
              <w:szCs w:val="16"/>
            </w:rPr>
          </w:pPr>
          <w:r>
            <w:rPr>
              <w:rFonts w:hint="default" w:ascii="Courier New" w:hAnsi="Courier New" w:cs="Courier New"/>
              <w:color w:val="000000"/>
              <w:sz w:val="16"/>
              <w:szCs w:val="16"/>
            </w:rPr>
            <w:t>[Source: LAEKNA_LIMITED\AFURESERTIB\BZA46559\BIOSTATISTICS\PRODUCTION\TABLES\PHASE_I_FINAL\T_AE.SAS] IQVIA 19JAN2023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0"/>
      <w:gridCol w:w="6470"/>
      <w:gridCol w:w="6480"/>
    </w:tblGrid>
    <w:tr>
      <w:trPr>
        <w:cantSplit/>
        <w:jc w:val="center"/>
      </w:trPr>
      <w:tc>
        <w:tcPr>
          <w:tcW w:w="6480" w:type="dxa"/>
          <w:gridSpan w:val="2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181" w:lineRule="exact"/>
            <w:rPr>
              <w:rFonts w:hint="default" w:ascii="Courier New" w:hAnsi="Courier New" w:cs="Courier New"/>
              <w:color w:val="000000"/>
              <w:sz w:val="16"/>
              <w:szCs w:val="16"/>
            </w:rPr>
          </w:pPr>
          <w:bookmarkStart w:id="0" w:name="IDX"/>
          <w:bookmarkEnd w:id="0"/>
          <w:r>
            <w:rPr>
              <w:rFonts w:hint="default" w:ascii="Courier New" w:hAnsi="Courier New" w:cs="Courier New"/>
              <w:color w:val="000000"/>
              <w:sz w:val="16"/>
              <w:szCs w:val="16"/>
            </w:rPr>
            <w:t>Laekna</w:t>
          </w:r>
        </w:p>
      </w:tc>
      <w:tc>
        <w:tcPr>
          <w:tcW w:w="648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181" w:lineRule="exact"/>
            <w:jc w:val="right"/>
            <w:rPr>
              <w:rFonts w:hint="default" w:ascii="Courier New" w:hAnsi="Courier New" w:cs="Courier New"/>
              <w:color w:val="000000"/>
              <w:sz w:val="16"/>
              <w:szCs w:val="16"/>
            </w:rPr>
          </w:pPr>
          <w:r>
            <w:rPr>
              <w:rFonts w:hint="default" w:ascii="Courier New" w:hAnsi="Courier New" w:cs="Courier New"/>
              <w:color w:val="000000"/>
              <w:sz w:val="16"/>
              <w:szCs w:val="16"/>
            </w:rPr>
            <w:t>Page 1 of 2</w:t>
          </w:r>
        </w:p>
      </w:tc>
    </w:tr>
    <w:tr>
      <w:trPr>
        <w:cantSplit/>
        <w:jc w:val="center"/>
      </w:trPr>
      <w:tc>
        <w:tcPr>
          <w:tcW w:w="12960" w:type="dxa"/>
          <w:gridSpan w:val="3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keepNext/>
            <w:adjustRightInd w:val="0"/>
            <w:spacing w:beforeLines="0" w:afterLines="0" w:line="181" w:lineRule="exact"/>
            <w:rPr>
              <w:rFonts w:hint="default" w:ascii="Courier New" w:cs="Courier New"/>
              <w:color w:val="000000"/>
              <w:sz w:val="16"/>
              <w:szCs w:val="16"/>
            </w:rPr>
          </w:pPr>
        </w:p>
      </w:tc>
    </w:tr>
    <w:tr>
      <w:trPr>
        <w:cantSplit/>
        <w:jc w:val="center"/>
      </w:trPr>
      <w:tc>
        <w:tcPr>
          <w:tcW w:w="12960" w:type="dxa"/>
          <w:gridSpan w:val="3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181" w:lineRule="exact"/>
            <w:rPr>
              <w:rFonts w:hint="default" w:ascii="Courier New" w:cs="Courier New"/>
              <w:color w:val="000000"/>
              <w:sz w:val="16"/>
              <w:szCs w:val="16"/>
            </w:rPr>
          </w:pPr>
        </w:p>
      </w:tc>
    </w:tr>
    <w:tr>
      <w:trPr>
        <w:gridAfter w:val="2"/>
        <w:wAfter w:w="12950" w:type="dxa"/>
        <w:cantSplit/>
        <w:jc w:val="center"/>
      </w:trPr>
      <w:tc>
        <w:tcPr>
          <w:tcW w:w="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21" w:lineRule="exact"/>
            <w:jc w:val="center"/>
            <w:rPr>
              <w:rFonts w:hint="default" w:ascii="Courier" w:cs="Courier"/>
              <w:color w:val="000000"/>
              <w:sz w:val="2"/>
              <w:szCs w:val="2"/>
            </w:rPr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0"/>
      <w:gridCol w:w="6470"/>
      <w:gridCol w:w="6480"/>
    </w:tblGrid>
    <w:tr>
      <w:trPr>
        <w:cantSplit/>
        <w:jc w:val="center"/>
      </w:trPr>
      <w:tc>
        <w:tcPr>
          <w:tcW w:w="6480" w:type="dxa"/>
          <w:gridSpan w:val="2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181" w:lineRule="exact"/>
            <w:rPr>
              <w:rFonts w:hint="default" w:ascii="Courier New" w:hAnsi="Courier New" w:cs="Courier New"/>
              <w:color w:val="000000"/>
              <w:sz w:val="16"/>
              <w:szCs w:val="16"/>
            </w:rPr>
          </w:pPr>
          <w:bookmarkStart w:id="1" w:name="IDX1"/>
          <w:bookmarkEnd w:id="1"/>
          <w:r>
            <w:rPr>
              <w:rFonts w:hint="default" w:ascii="Courier New" w:hAnsi="Courier New" w:cs="Courier New"/>
              <w:color w:val="000000"/>
              <w:sz w:val="16"/>
              <w:szCs w:val="16"/>
            </w:rPr>
            <w:t>Laekna</w:t>
          </w:r>
        </w:p>
      </w:tc>
      <w:tc>
        <w:tcPr>
          <w:tcW w:w="648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181" w:lineRule="exact"/>
            <w:jc w:val="right"/>
            <w:rPr>
              <w:rFonts w:hint="default" w:ascii="Courier New" w:hAnsi="Courier New" w:cs="Courier New"/>
              <w:color w:val="000000"/>
              <w:sz w:val="16"/>
              <w:szCs w:val="16"/>
            </w:rPr>
          </w:pPr>
          <w:r>
            <w:rPr>
              <w:rFonts w:hint="default" w:ascii="Courier New" w:hAnsi="Courier New" w:cs="Courier New"/>
              <w:color w:val="000000"/>
              <w:sz w:val="16"/>
              <w:szCs w:val="16"/>
            </w:rPr>
            <w:t>Page 2 of 2</w:t>
          </w:r>
        </w:p>
      </w:tc>
    </w:tr>
    <w:tr>
      <w:trPr>
        <w:cantSplit/>
        <w:jc w:val="center"/>
      </w:trPr>
      <w:tc>
        <w:tcPr>
          <w:tcW w:w="12960" w:type="dxa"/>
          <w:gridSpan w:val="3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keepNext/>
            <w:adjustRightInd w:val="0"/>
            <w:spacing w:beforeLines="0" w:afterLines="0" w:line="181" w:lineRule="exact"/>
            <w:rPr>
              <w:rFonts w:hint="default" w:ascii="Courier New" w:hAnsi="Courier New" w:cs="Courier New"/>
              <w:color w:val="000000"/>
              <w:sz w:val="16"/>
              <w:szCs w:val="16"/>
            </w:rPr>
          </w:pPr>
          <w:r>
            <w:rPr>
              <w:rFonts w:hint="default" w:ascii="Courier New" w:hAnsi="Courier New" w:cs="Courier New"/>
              <w:color w:val="000000"/>
              <w:sz w:val="16"/>
              <w:szCs w:val="16"/>
            </w:rPr>
            <w:t>LAE201INT2101</w:t>
          </w:r>
        </w:p>
      </w:tc>
    </w:tr>
    <w:tr>
      <w:trPr>
        <w:cantSplit/>
        <w:jc w:val="center"/>
      </w:trPr>
      <w:tc>
        <w:tcPr>
          <w:tcW w:w="12960" w:type="dxa"/>
          <w:gridSpan w:val="3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181" w:lineRule="exact"/>
            <w:rPr>
              <w:rFonts w:hint="default" w:ascii="Courier New" w:hAnsi="Courier New" w:cs="Courier New"/>
              <w:color w:val="000000"/>
              <w:sz w:val="16"/>
              <w:szCs w:val="16"/>
            </w:rPr>
          </w:pPr>
          <w:r>
            <w:rPr>
              <w:rFonts w:hint="default" w:ascii="Courier New" w:hAnsi="Courier New" w:cs="Courier New"/>
              <w:color w:val="000000"/>
              <w:sz w:val="16"/>
              <w:szCs w:val="16"/>
            </w:rPr>
            <w:t>LAE001 (CFG920) and Prednisone + Afuresertib (LAE002)</w:t>
          </w:r>
        </w:p>
      </w:tc>
    </w:tr>
    <w:tr>
      <w:trPr>
        <w:gridAfter w:val="2"/>
        <w:wAfter w:w="12950" w:type="dxa"/>
        <w:cantSplit/>
        <w:jc w:val="center"/>
      </w:trPr>
      <w:tc>
        <w:tcPr>
          <w:tcW w:w="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noWrap w:val="0"/>
          <w:vAlign w:val="top"/>
        </w:tcPr>
        <w:p>
          <w:pPr>
            <w:adjustRightInd w:val="0"/>
            <w:spacing w:beforeLines="0" w:afterLines="0" w:line="21" w:lineRule="exact"/>
            <w:jc w:val="center"/>
            <w:rPr>
              <w:rFonts w:hint="default" w:ascii="Courier" w:cs="Courier"/>
              <w:color w:val="000000"/>
              <w:sz w:val="2"/>
              <w:szCs w:val="2"/>
            </w:rPr>
          </w:pP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935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99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autoSpaceDE w:val="0"/>
      <w:autoSpaceDN w:val="0"/>
      <w:spacing w:beforeLines="0" w:afterLines="0"/>
    </w:pPr>
    <w:rPr>
      <w:rFonts w:hint="eastAsia" w:ascii="Times New Roman" w:hAnsi="Times New Roman" w:eastAsia="等线" w:cs="Times New Roman"/>
      <w:sz w:val="20"/>
      <w:szCs w:val="20"/>
      <w:lang w:val="en-US" w:eastAsia="zh-CN" w:bidi="ar-SA"/>
    </w:rPr>
  </w:style>
  <w:style w:type="character" w:default="1" w:styleId="5">
    <w:name w:val="Default Paragraph Font"/>
    <w:unhideWhenUsed/>
    <w:uiPriority w:val="99"/>
    <w:rPr>
      <w:rFonts w:hint="default"/>
      <w:sz w:val="24"/>
      <w:szCs w:val="24"/>
    </w:rPr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</w:pPr>
    <w:rPr>
      <w:rFonts w:hint="eastAsia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眉 字符"/>
    <w:basedOn w:val="5"/>
    <w:link w:val="3"/>
    <w:unhideWhenUsed/>
    <w:uiPriority w:val="99"/>
    <w:rPr>
      <w:rFonts w:hint="default" w:ascii="Times New Roman" w:cs="Times New Roman"/>
      <w:sz w:val="18"/>
      <w:szCs w:val="18"/>
    </w:rPr>
  </w:style>
  <w:style w:type="character" w:customStyle="1" w:styleId="7">
    <w:name w:val="页脚 字符"/>
    <w:basedOn w:val="5"/>
    <w:link w:val="2"/>
    <w:unhideWhenUsed/>
    <w:uiPriority w:val="99"/>
    <w:rPr>
      <w:rFonts w:hint="default" w:asci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Office_6.5.0.8619_F1E327BC-269C-435d-A152-05C5408002CA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2024-04-24T15:10:38Z</dcterms:created>
  <dc:creator>Data</dc:creator>
  <cp:lastModifiedBy>A 萱萱</cp:lastModifiedBy>
  <dcterms:modified xsi:type="dcterms:W3CDTF">2024-04-24T15:11:42Z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080A0B7B3A3DB00BAEB02866FB8818A7_42</vt:lpwstr>
  </property>
</Properties>
</file>