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ascii="Arial" w:hAnsi="Arial" w:eastAsiaTheme="minorEastAsia"/>
        </w:rPr>
        <w:t>SÃO PAULO TECH SCHOOL</w:t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ascii="Arial" w:hAnsi="Arial" w:eastAsiaTheme="minorEastAsia"/>
        </w:rPr>
        <w:t>GRADUAÇÃO EM CIÊNCIA DA COMPUTAÇÃO</w:t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TECNOLOGIA E INFORMAÇÃO</w:t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ascii="Arial" w:hAnsi="Arial" w:eastAsiaTheme="minorEastAsia"/>
        </w:rPr>
        <w:t>PROFESSOR MARCOS ANTONIO</w:t>
      </w:r>
    </w:p>
    <w:p>
      <w:pPr>
        <w:pStyle w:val="Normal"/>
        <w:jc w:val="both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both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both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tbl>
      <w:tblPr>
        <w:tblStyle w:val="TableGrid"/>
        <w:tblW w:w="1092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804"/>
        <w:gridCol w:w="5515"/>
        <w:gridCol w:w="1804"/>
        <w:gridCol w:w="1804"/>
      </w:tblGrid>
      <w:tr>
        <w:trPr>
          <w:trHeight w:val="300" w:hRule="atLeast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  <w:color w:val="000000" w:themeColor="text1"/>
              </w:rPr>
            </w:pPr>
            <w:r>
              <w:rPr>
                <w:rFonts w:eastAsia="" w:cs="Arial" w:ascii="Arial" w:hAnsi="Arial" w:eastAsiaTheme="minorEastAsia"/>
              </w:rPr>
              <w:t>Deivid Duarte Oliveira</w:t>
            </w:r>
            <w:r>
              <w:rPr>
                <w:rFonts w:cs="Arial" w:ascii="Arial" w:hAnsi="Arial"/>
              </w:rPr>
              <w:tab/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  <w:color w:val="000000" w:themeColor="text1"/>
              </w:rPr>
            </w:pPr>
            <w:r>
              <w:rPr>
                <w:rFonts w:eastAsia="" w:cs="Arial" w:ascii="Arial" w:hAnsi="Arial" w:eastAsiaTheme="minorEastAsia"/>
              </w:rPr>
              <w:t>[RA 04252007]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</w:tr>
      <w:tr>
        <w:trPr>
          <w:trHeight w:val="300" w:hRule="atLeast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  <w:color w:val="000000" w:themeColor="text1"/>
              </w:rPr>
            </w:pPr>
            <w:r>
              <w:rPr>
                <w:rFonts w:eastAsia="" w:cs="Arial" w:ascii="Arial" w:hAnsi="Arial" w:eastAsiaTheme="minorEastAsia"/>
              </w:rPr>
              <w:t>José Henrique Freire Valfogo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[RA 04252021]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</w:tr>
      <w:tr>
        <w:trPr>
          <w:trHeight w:val="300" w:hRule="atLeast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  <w:color w:val="000000" w:themeColor="text1"/>
              </w:rPr>
            </w:pPr>
            <w:r>
              <w:rPr>
                <w:rFonts w:eastAsia="" w:cs="Arial" w:ascii="Arial" w:hAnsi="Arial" w:eastAsiaTheme="minorEastAsia"/>
              </w:rPr>
              <w:t xml:space="preserve">Luís Felipe Gomes 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[RA 04252017]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</w:tr>
      <w:tr>
        <w:trPr>
          <w:trHeight w:val="300" w:hRule="atLeast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Luís Paraiso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[RA 04252045]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</w:tr>
      <w:tr>
        <w:trPr>
          <w:trHeight w:val="300" w:hRule="atLeast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  <w:color w:val="000000" w:themeColor="text1"/>
              </w:rPr>
            </w:pPr>
            <w:r>
              <w:rPr>
                <w:rFonts w:eastAsia="" w:cs="Arial" w:ascii="Arial" w:hAnsi="Arial" w:eastAsiaTheme="minorEastAsia"/>
              </w:rPr>
              <w:t>Matheus de Souza Valle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[RA 04252043]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</w:tr>
      <w:tr>
        <w:trPr>
          <w:trHeight w:val="300" w:hRule="atLeast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Luana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[RA 04252035]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</w:tr>
      <w:tr>
        <w:trPr>
          <w:trHeight w:val="300" w:hRule="atLeast"/>
        </w:trPr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eastAsiaTheme="minorEastAsia" w:ascii="Arial" w:hAnsi="Arial"/>
              </w:rPr>
            </w:r>
          </w:p>
        </w:tc>
        <w:tc>
          <w:tcPr>
            <w:tcW w:w="5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jc w:val="both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spacing w:before="0" w:after="0"/>
        <w:ind w:left="4320" w:hanging="0"/>
        <w:jc w:val="both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spacing w:before="0" w:after="0"/>
        <w:ind w:left="4320" w:hanging="0"/>
        <w:jc w:val="both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ascii="Arial" w:hAnsi="Arial" w:eastAsiaTheme="minorEastAsia"/>
        </w:rPr>
        <w:t xml:space="preserve">    </w:t>
      </w:r>
    </w:p>
    <w:p>
      <w:pPr>
        <w:pStyle w:val="Normal"/>
        <w:spacing w:before="0" w:after="0"/>
        <w:jc w:val="both"/>
        <w:rPr>
          <w:rFonts w:eastAsia="" w:eastAsiaTheme="minorEastAsia"/>
          <w:color w:val="000000" w:themeColor="text1"/>
        </w:rPr>
      </w:pPr>
      <w:r>
        <w:rPr>
          <w:rFonts w:eastAsia="" w:eastAsiaTheme="minorEastAsia"/>
          <w:color w:val="000000" w:themeColor="text1"/>
        </w:rPr>
      </w:r>
    </w:p>
    <w:p>
      <w:pPr>
        <w:pStyle w:val="Normal"/>
        <w:jc w:val="both"/>
        <w:rPr>
          <w:rFonts w:eastAsia="" w:eastAsiaTheme="minorEastAsia"/>
          <w:color w:val="000000" w:themeColor="text1"/>
        </w:rPr>
      </w:pPr>
      <w:r>
        <w:rPr>
          <w:rFonts w:eastAsia="" w:eastAsiaTheme="minorEastAsia"/>
          <w:color w:val="000000" w:themeColor="text1"/>
        </w:rPr>
      </w:r>
    </w:p>
    <w:p>
      <w:pPr>
        <w:pStyle w:val="Normal"/>
        <w:jc w:val="both"/>
        <w:rPr>
          <w:rFonts w:eastAsia="" w:eastAsiaTheme="minorEastAsia"/>
          <w:color w:val="000000" w:themeColor="text1"/>
        </w:rPr>
      </w:pPr>
      <w:r>
        <w:rPr>
          <w:rFonts w:eastAsia="" w:eastAsiaTheme="minorEastAsia"/>
          <w:color w:val="000000" w:themeColor="text1"/>
        </w:rPr>
      </w:r>
    </w:p>
    <w:p>
      <w:pPr>
        <w:pStyle w:val="Normal"/>
        <w:jc w:val="both"/>
        <w:rPr>
          <w:rFonts w:eastAsia="" w:eastAsiaTheme="minorEastAsia"/>
          <w:color w:val="000000" w:themeColor="text1"/>
        </w:rPr>
      </w:pPr>
      <w:r>
        <w:rPr>
          <w:rFonts w:eastAsia="" w:eastAsiaTheme="minorEastAsia"/>
          <w:color w:val="000000" w:themeColor="text1"/>
        </w:rPr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b/>
          <w:b/>
          <w:bCs/>
          <w:color w:val="000000" w:themeColor="text1"/>
          <w:sz w:val="32"/>
          <w:szCs w:val="32"/>
        </w:rPr>
      </w:pPr>
      <w:r>
        <w:rPr>
          <w:rFonts w:eastAsia="" w:cs="Arial" w:ascii="Arial" w:hAnsi="Arial" w:eastAsiaTheme="minorEastAsia"/>
          <w:b/>
          <w:bCs/>
          <w:sz w:val="32"/>
          <w:szCs w:val="32"/>
        </w:rPr>
        <w:t>Hik</w:t>
        <w:softHyphen/>
        <w:softHyphen/>
        <w:softHyphen/>
        <w:softHyphen/>
        <w:softHyphen/>
        <w:softHyphen/>
        <w:t>ari Wasabi:</w:t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b/>
          <w:b/>
          <w:bCs/>
          <w:color w:val="000000" w:themeColor="text1"/>
          <w:sz w:val="32"/>
          <w:szCs w:val="32"/>
        </w:rPr>
      </w:pPr>
      <w:r>
        <w:rPr>
          <w:rFonts w:eastAsia="" w:cs="Arial" w:ascii="Arial" w:hAnsi="Arial" w:eastAsiaTheme="minorEastAsia"/>
          <w:b/>
          <w:bCs/>
          <w:sz w:val="32"/>
          <w:szCs w:val="32"/>
        </w:rPr>
        <w:t>PROPOSTA SOBRE O MONITORAMENTO CONSTANTE DA UMIDADE E TEMPERATURA EM PLANTAÇÃO DE WASABIS</w:t>
      </w:r>
    </w:p>
    <w:p>
      <w:pPr>
        <w:pStyle w:val="Normal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eastAsiaTheme="minorEastAsia" w:ascii="Arial" w:hAnsi="Arial"/>
          <w:color w:val="000000" w:themeColor="text1"/>
        </w:rPr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  <w:color w:val="000000" w:themeColor="text1"/>
        </w:rPr>
      </w:pPr>
      <w:r>
        <w:rPr>
          <w:rFonts w:eastAsia="" w:cs="Arial" w:ascii="Arial" w:hAnsi="Arial" w:eastAsiaTheme="minorEastAsia"/>
        </w:rPr>
        <w:t>SÃO PAULO/SP</w:t>
      </w:r>
    </w:p>
    <w:p>
      <w:pPr>
        <w:pStyle w:val="Normal"/>
        <w:spacing w:before="0" w:after="0"/>
        <w:jc w:val="center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Ago./2025</w:t>
      </w:r>
    </w:p>
    <w:p>
      <w:pPr>
        <w:pStyle w:val="Normal"/>
        <w:rPr>
          <w:rFonts w:eastAsia="" w:eastAsiaTheme="minorEastAsia"/>
          <w:u w:val="single"/>
        </w:rPr>
      </w:pPr>
      <w:r>
        <w:rPr>
          <w:rFonts w:eastAsia="" w:eastAsiaTheme="minorEastAsia"/>
          <w:u w:val="singl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center"/>
            <w:rPr>
              <w:rStyle w:val="Heading1Char"/>
              <w:b/>
              <w:b/>
              <w:bCs/>
            </w:rPr>
          </w:pPr>
          <w:r>
            <w:br w:type="page"/>
          </w:r>
          <w:r>
            <w:rPr>
              <w:rStyle w:val="Heading1Char"/>
              <w:b/>
              <w:bCs/>
            </w:rPr>
            <w:t>SUMÁRIO</w:t>
          </w:r>
        </w:p>
        <w:p>
          <w:pPr>
            <w:pStyle w:val="Normal"/>
            <w:rPr>
              <w:lang w:eastAsia="pt-BR"/>
            </w:rPr>
          </w:pPr>
          <w:r>
            <w:rPr>
              <w:lang w:eastAsia="pt-BR"/>
            </w:rPr>
          </w:r>
        </w:p>
        <w:p>
          <w:pPr>
            <w:pStyle w:val="Sumrio1"/>
            <w:tabs>
              <w:tab w:val="clear" w:pos="708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</w:rPr>
            <w:instrText> TOC \z \o "1-3" \u \h</w:instrText>
          </w:r>
          <w:r>
            <w:rPr>
              <w:webHidden/>
              <w:rStyle w:val="Vnculodendice"/>
            </w:rPr>
            <w:fldChar w:fldCharType="separate"/>
          </w:r>
          <w:hyperlink w:anchor="_Toc209978971">
            <w:r>
              <w:rPr>
                <w:webHidden/>
                <w:rStyle w:val="Vnculodendice"/>
              </w:rPr>
              <w:t>CONTEXTO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72">
            <w:r>
              <w:rPr>
                <w:webHidden/>
                <w:rStyle w:val="Vnculodendice"/>
              </w:rPr>
              <w:t>OBJETIVO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2"/>
            <w:rPr>
              <w:rFonts w:ascii="Aptos" w:hAnsi="Aptos" w:eastAsia="" w:cs="" w:asciiTheme="minorHAnsi" w:cstheme="minorBidi" w:eastAsiaTheme="minorEastAsia" w:hAnsiTheme="minorHAnsi"/>
              <w:kern w:val="2"/>
              <w:lang w:eastAsia="pt-BR"/>
              <w14:ligatures w14:val="standardContextual"/>
            </w:rPr>
          </w:pPr>
          <w:hyperlink w:anchor="_Toc209978973">
            <w:r>
              <w:rPr>
                <w:webHidden/>
                <w:rStyle w:val="Vnculodendice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2.1. Análise de Dados e Geração de Insights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2"/>
            <w:rPr>
              <w:rFonts w:ascii="Aptos" w:hAnsi="Aptos" w:eastAsia="" w:cs="" w:asciiTheme="minorHAnsi" w:cstheme="minorBidi" w:eastAsiaTheme="minorEastAsia" w:hAnsiTheme="minorHAnsi"/>
              <w:kern w:val="2"/>
              <w:lang w:eastAsia="pt-BR"/>
              <w14:ligatures w14:val="standardContextual"/>
            </w:rPr>
          </w:pPr>
          <w:hyperlink w:anchor="_Toc209978974">
            <w:r>
              <w:rPr>
                <w:webHidden/>
                <w:rStyle w:val="Vnculodendice"/>
              </w:rPr>
              <w:t>2.2. Fundamentação Econômica e Valor Proposto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2"/>
            <w:rPr>
              <w:rFonts w:ascii="Aptos" w:hAnsi="Aptos" w:eastAsia="" w:cs="" w:asciiTheme="minorHAnsi" w:cstheme="minorBidi" w:eastAsiaTheme="minorEastAsia" w:hAnsiTheme="minorHAnsi"/>
              <w:kern w:val="2"/>
              <w:lang w:eastAsia="pt-BR"/>
              <w14:ligatures w14:val="standardContextual"/>
            </w:rPr>
          </w:pPr>
          <w:hyperlink w:anchor="_Toc209978975">
            <w:r>
              <w:rPr>
                <w:webHidden/>
                <w:rStyle w:val="Vnculodendice"/>
              </w:rPr>
              <w:t>2.3. Redução de Riscos e Maximização de Resultados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76">
            <w:r>
              <w:rPr>
                <w:webHidden/>
                <w:rStyle w:val="Vnculodendice"/>
              </w:rPr>
              <w:t>JUSTIFICATIVA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77">
            <w:r>
              <w:rPr>
                <w:webHidden/>
                <w:rStyle w:val="Vnculodendice"/>
              </w:rPr>
              <w:t>ESCOPO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2"/>
            <w:rPr>
              <w:rFonts w:ascii="Aptos" w:hAnsi="Aptos" w:eastAsia="" w:cs="" w:asciiTheme="minorHAnsi" w:cstheme="minorBidi" w:eastAsiaTheme="minorEastAsia" w:hAnsiTheme="minorHAnsi"/>
              <w:kern w:val="2"/>
              <w:lang w:eastAsia="pt-BR"/>
              <w14:ligatures w14:val="standardContextual"/>
            </w:rPr>
          </w:pPr>
          <w:hyperlink w:anchor="_Toc209978978">
            <w:r>
              <w:rPr>
                <w:webHidden/>
                <w:rStyle w:val="Vnculodendice"/>
                <w:b/>
              </w:rPr>
              <w:t>1.</w:t>
            </w:r>
            <w:r>
              <w:rPr>
                <w:rStyle w:val="Vnculodendice"/>
                <w:rFonts w:eastAsia="" w:cs="" w:ascii="Aptos" w:hAnsi="Aptos" w:asciiTheme="minorHAnsi" w:cstheme="minorBidi" w:eastAsiaTheme="minorEastAsia" w:hAnsiTheme="minorHAnsi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eastAsia="" w:cs="" w:cstheme="majorBidi" w:eastAsiaTheme="majorEastAsia"/>
                <w:b/>
              </w:rPr>
              <w:t>LIMITES</w:t>
            </w:r>
            <w:r>
              <w:rPr>
                <w:rStyle w:val="Vnculodendice"/>
                <w:b/>
                <w:bCs/>
              </w:rPr>
              <w:t>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2"/>
            <w:rPr>
              <w:rFonts w:ascii="Aptos" w:hAnsi="Aptos" w:eastAsia="" w:cs="" w:asciiTheme="minorHAnsi" w:cstheme="minorBidi" w:eastAsiaTheme="minorEastAsia" w:hAnsiTheme="minorHAnsi"/>
              <w:kern w:val="2"/>
              <w:lang w:eastAsia="pt-BR"/>
              <w14:ligatures w14:val="standardContextual"/>
            </w:rPr>
          </w:pPr>
          <w:hyperlink w:anchor="_Toc209978979">
            <w:r>
              <w:rPr>
                <w:webHidden/>
                <w:rStyle w:val="Vnculodendice"/>
                <w:b/>
              </w:rPr>
              <w:t>2.</w:t>
            </w:r>
            <w:r>
              <w:rPr>
                <w:rStyle w:val="Vnculodendice"/>
                <w:rFonts w:eastAsia="" w:cs="" w:ascii="Aptos" w:hAnsi="Aptos" w:asciiTheme="minorHAnsi" w:cstheme="minorBidi" w:eastAsiaTheme="minorEastAsia" w:hAnsiTheme="minorHAnsi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eastAsia="" w:cs="" w:cstheme="majorBidi" w:eastAsiaTheme="majorEastAsia"/>
                <w:b/>
              </w:rPr>
              <w:t>EXCLUSÕES</w:t>
            </w:r>
            <w:r>
              <w:rPr>
                <w:rStyle w:val="Vnculodendice"/>
                <w:b/>
                <w:bCs/>
              </w:rPr>
              <w:t>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_Toc209978979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2"/>
            <w:rPr>
              <w:rFonts w:ascii="Aptos" w:hAnsi="Aptos" w:eastAsia="" w:cs="" w:asciiTheme="minorHAnsi" w:cstheme="minorBidi" w:eastAsiaTheme="minorEastAsia" w:hAnsiTheme="minorHAnsi"/>
              <w:kern w:val="2"/>
              <w:lang w:eastAsia="pt-BR"/>
              <w14:ligatures w14:val="standardContextual"/>
            </w:rPr>
          </w:pPr>
          <w:hyperlink w:anchor="_Toc209978980">
            <w:r>
              <w:rPr>
                <w:webHidden/>
                <w:rStyle w:val="Vnculodendice"/>
                <w:b/>
              </w:rPr>
              <w:t>3.</w:t>
            </w:r>
            <w:r>
              <w:rPr>
                <w:rStyle w:val="Vnculodendice"/>
                <w:rFonts w:eastAsia="" w:cs="" w:ascii="Aptos" w:hAnsi="Aptos" w:asciiTheme="minorHAnsi" w:cstheme="minorBidi" w:eastAsiaTheme="minorEastAsia" w:hAnsiTheme="minorHAnsi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eastAsia="" w:cs="" w:cstheme="majorBidi" w:eastAsiaTheme="majorEastAsia"/>
                <w:b/>
              </w:rPr>
              <w:t>ENTREGÁVEIS</w:t>
            </w:r>
            <w:r>
              <w:rPr>
                <w:rStyle w:val="Vnculodendice"/>
                <w:b/>
                <w:bCs/>
              </w:rPr>
              <w:t>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1">
            <w:r>
              <w:rPr>
                <w:webHidden/>
                <w:rStyle w:val="Vnculodendice"/>
              </w:rPr>
              <w:t>SOBRE O SENSOR XXXXX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left" w:pos="480" w:leader="none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2">
            <w:r>
              <w:rPr>
                <w:webHidden/>
                <w:rStyle w:val="Vnculodendice"/>
                <w:rFonts w:cs="Arial"/>
                <w:bCs/>
              </w:rPr>
              <w:t>4.</w:t>
            </w:r>
            <w:r>
              <w:rPr>
                <w:rStyle w:val="Vnculodendice"/>
                <w:rFonts w:eastAsia="" w:eastAsiaTheme="minorEastAsia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PREMISSAS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left" w:pos="480" w:leader="none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3">
            <w:r>
              <w:rPr>
                <w:webHidden/>
                <w:rStyle w:val="Vnculodendice"/>
                <w:rFonts w:cs="Arial"/>
                <w:bCs/>
              </w:rPr>
              <w:t>5.</w:t>
            </w:r>
            <w:r>
              <w:rPr>
                <w:rStyle w:val="Vnculodendice"/>
                <w:rFonts w:eastAsia="" w:eastAsiaTheme="minorEastAsia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RESTRIÇÕES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left" w:pos="480" w:leader="none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4">
            <w:r>
              <w:rPr>
                <w:webHidden/>
                <w:rStyle w:val="Vnculodendice"/>
              </w:rPr>
              <w:t>6.</w:t>
            </w:r>
            <w:r>
              <w:rPr>
                <w:rStyle w:val="Vnculodendice"/>
                <w:rFonts w:eastAsia="" w:eastAsiaTheme="minorEastAsia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DIAGRAMA DE SOLUÇÃO E DE NEGÓCIOS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left" w:pos="480" w:leader="none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5">
            <w:r>
              <w:rPr>
                <w:webHidden/>
                <w:rStyle w:val="Vnculodendice"/>
              </w:rPr>
              <w:t>7.</w:t>
            </w:r>
            <w:r>
              <w:rPr>
                <w:rStyle w:val="Vnculodendice"/>
                <w:rFonts w:eastAsia="" w:eastAsiaTheme="minorEastAsia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REQUISITOS – BACKLOG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left" w:pos="480" w:leader="none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6">
            <w:r>
              <w:rPr>
                <w:webHidden/>
                <w:rStyle w:val="Vnculodendice"/>
              </w:rPr>
              <w:t>8.</w:t>
            </w:r>
            <w:r>
              <w:rPr>
                <w:rStyle w:val="Vnculodendice"/>
                <w:rFonts w:eastAsia="" w:eastAsiaTheme="minorEastAsia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MACROCRONOGRAMA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tabs>
              <w:tab w:val="clear" w:pos="708"/>
              <w:tab w:val="right" w:pos="9061" w:leader="dot"/>
            </w:tabs>
            <w:rPr>
              <w:rFonts w:eastAsia="" w:eastAsiaTheme="minorEastAsia"/>
              <w:kern w:val="2"/>
              <w:lang w:eastAsia="pt-BR"/>
              <w14:ligatures w14:val="standardContextual"/>
            </w:rPr>
          </w:pPr>
          <w:hyperlink w:anchor="_Toc209978987">
            <w:r>
              <w:rPr>
                <w:webHidden/>
                <w:rStyle w:val="Vnculodendice"/>
              </w:rPr>
              <w:t>REFERÊNCIAS UTILIZADAS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_Toc209978987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  <w:r>
            <w:rPr>
              <w:rFonts w:cs="Arial" w:ascii="Arial" w:hAnsi="Arial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701" w:right="1134" w:header="0" w:top="1701" w:footer="720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Ttulo1"/>
        <w:spacing w:before="240" w:after="240"/>
        <w:rPr>
          <w:rFonts w:ascii="Arial" w:hAnsi="Arial" w:eastAsia="" w:cs="Arial" w:eastAsiaTheme="minorEastAsia"/>
          <w:b/>
          <w:b/>
          <w:bCs/>
        </w:rPr>
      </w:pPr>
      <w:bookmarkStart w:id="0" w:name="_Toc209978971"/>
      <w:r>
        <w:rPr/>
        <w:t>CONTEXTO</w:t>
      </w:r>
      <w:bookmarkEnd w:id="0"/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O wasabi (</w:t>
      </w:r>
      <w:r>
        <w:rPr>
          <w:rFonts w:eastAsia="" w:cs="Arial" w:ascii="Arial" w:hAnsi="Arial" w:eastAsiaTheme="minorEastAsia"/>
          <w:i/>
          <w:iCs/>
        </w:rPr>
        <w:t>Eutrema Japonicum</w:t>
      </w:r>
      <w:r>
        <w:rPr>
          <w:rFonts w:eastAsia="" w:cs="Arial" w:ascii="Arial" w:hAnsi="Arial" w:eastAsiaTheme="minorEastAsia"/>
        </w:rPr>
        <w:t>), espécie de planta de caule subterrâneo, nomeado de rizoma, sua origem foi dada no Período Nara (710 – 794 d.C) no Japão, sendo inicialmente, utilizado como planta medicinal, vez que possuía propriedades antibacterianas que ajudavam a prevenir possíveis intoxicações alimentares, especialmente, associado ao consumo de peixe cru. Consequentemente, em sua evolução histórica, o wasabi foi reconhecido como um condimento para realçar o sabor das refeições com peixe fresco, pois além de sua propriedade medicinal, também auxiliava na limpeza do paladar para a degustação do próximo prato.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Sua jornada introdutória no Brasil está intrinsecamente ligada à imigração japonesa e à popularização da culinário no país, em meados de 1908, trazendo consigo suas tradições culinárias. No entanto, o wasabi fresco era impossível de encontrar. As primeiras colônias japonesas, concentradas em São Paulo e no Paraná, tentaram se adaptar usando alternativas locais, mas o sabor único do wasabi era uma grande falta. Por décadas, o consumo de pratos como sushi e sashimi ficou restrito quase que exclusivamente à comunidade nipo-brasileira.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Diante da dificuldade de importação e movidos pelo desejo de produzir o wasabi genuíno, agricultores de origem japonesa iniciaram experimentos de cultivo no Brasil. O maior desafio era replicar o microclima das montanhas japonesas. Regiões serranas com clima mais ameno, como Campos do Jordão (SP) e algumas áreas da Mantiqueira, mostraram-se promissoras. Apesar dos esforços, o cultivo comercial de wasabi verdadeiro no Brasil ainda é incipiente, artesanal e destinado a um mercado muito específico (chefs de alta gastronomia e gourmets).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Hoje, o Brasil possui a maior comunidade japonesa fora do Japão, e a culinária japonesa é profundamente integrada à dieta urbana brasileira. O wasabi, mesmo na sua forma mais comum de pasta, é um item familiar nas mesas. Paralelamente, com a globalização e o aumento do interesse por ingredientes autênticos, tornou-se possível encontrar wasabi verdadeiro (fresco ou em pó puro) em lojas especializadas e mercados gourmet, ainda que a um preço elevado.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Atualmente, o mercado brasileiro de wasabi verdadeiro é dominado por uma única empresa: a Minato Wasabi, sediada em Pilar do Sul (SP). Trata-se de uma empresa emergente, fundada há uma década, que tem ganhado crescente destaque no setor.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A Minato cultiva a iguaria japonesa em estufas e ambientes controlados, com uma produção mensal de aproximadamente 8 kg. O produto é comercializado principalmente para restaurantes especializados, alcançando o valor médio de R$ 8.000 por quilograma, de acordo com reportagem da Folha de S. Paulo.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Em 2022, a empresa deu um passo significativo para expandir sua capacidade produtiva ao receber um aporte de cerca de R$ 650 mil da Venture Builder WBGI. O investimento tem como objetivo ampliar a área de plantio, com uma meta de aumentar a produção para 60 kg mensais, um grande salto em comparação com os 8 kg produzidos anteriormente.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Desta forma, temos um potencial de crescimento significativo no mercado de wasabi. O potencial de crescimento tanto da empresa Minato Wasabi quanto do mercado de wasabi no Brasil é significativo. Projeções de mercado para os próximos anos indicam uma taxa de crescimento anual considerável para os derivados da planta.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Estima-se que o mercado global de pasta de wasabi, que deve movimentar cerca de US$ 320 milhões em 2024, alcance o patamar de R$ 510 milhões em 2030, registrando uma Taxa de Crescimento Anual (CAGR) de 8,1%. De forma semelhante, o mercado de wasabi em pó, que parte de aproximadamente R$ 180 milhões em 2024, deve expandir-se para cerca de R$ 270 milhões em 2030, impulsionado por uma taxa de crescimento anual de 7,9%. Abaixo, temos a projeção de dados de forma gráfica: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/>
        <w:drawing>
          <wp:inline distT="0" distB="0" distL="0" distR="0">
            <wp:extent cx="5724525" cy="2962275"/>
            <wp:effectExtent l="0" t="0" r="0" b="0"/>
            <wp:docPr id="1" name="drawing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Ttulo1"/>
        <w:rPr>
          <w:rFonts w:ascii="Arial" w:hAnsi="Arial" w:eastAsia="" w:cs="Arial" w:eastAsiaTheme="minorEastAsia"/>
          <w:b/>
          <w:b/>
          <w:bCs/>
        </w:rPr>
      </w:pPr>
      <w:bookmarkStart w:id="1" w:name="_Toc209978972"/>
      <w:r>
        <w:rPr/>
        <w:t>OBJETIVO</w:t>
      </w:r>
      <w:bookmarkEnd w:id="1"/>
    </w:p>
    <w:p>
      <w:pPr>
        <w:pStyle w:val="Normal"/>
        <w:rPr>
          <w:rFonts w:ascii="Arial" w:hAnsi="Arial" w:eastAsia="" w:cs="Arial" w:eastAsiaTheme="minorEastAsia"/>
          <w:b/>
          <w:b/>
          <w:bCs/>
        </w:rPr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O sistema tem como objetivo monitorar continuamente os níveis de umidade e temperatura nas plantações de wasabi, detectando automaticamente quando a critérios estiverem nos limites ideais para o cultivo. Ao identificar que ultrapassou essas condições, o sistema emitirá um alarme, sinalizando a necessidade de atitudes a serem tomadas mediante aos critérios a serem sanados.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A implementação dessa solução garantirá uma redução significativa do estresse vegetal, resultando em um aumento direto na qualidade e na produtividade do wasabi. Como consequência, o produtor obterá uma redução de custos operacionais e a minimização de perdas de safra.</w:t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Ttulo2"/>
        <w:rPr>
          <w:rFonts w:ascii="Arial" w:hAnsi="Arial" w:eastAsia="" w:cs="Arial" w:eastAsiaTheme="minorEastAsia"/>
          <w:color w:val="000000" w:themeColor="text1"/>
          <w14:textOutline w14:w="9525" w14:cap="rnd" w14:cmpd="sng" w14:algn="ctr">
            <w14:noFill/>
            <w14:prstDash w14:val="solid"/>
            <w14:bevel/>
          </w14:textOutline>
        </w:rPr>
      </w:pPr>
      <w:bookmarkStart w:id="2" w:name="_Toc209978973"/>
      <w:r>
        <w:rPr>
          <w:rFonts w:eastAsia="" w:cs="Arial" w:ascii="Arial" w:hAnsi="Arial" w:eastAsiaTheme="minorEastAsia"/>
          <w:color w:val="000000" w:themeColor="text1"/>
          <w14:textOutline w14:w="9525" w14:cap="rnd" w14:cmpd="sng" w14:algn="ctr">
            <w14:noFill/>
            <w14:prstDash w14:val="solid"/>
            <w14:bevel/>
          </w14:textOutline>
        </w:rPr>
        <w:t>2.1. Análise de Dados e Geração de Insights</w:t>
      </w:r>
      <w:bookmarkEnd w:id="2"/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O sistema permitirá o registro preciso da temperatura e umidade. Esses dados, armazenados e processados, facilitarão a análise de padrões sazonais e a identificação de janelas de risco. As informações consolidadas, incluindo alertas em tempo real e relatórios históricos, serão disponibilizadas ao usuário por meio de um website intuitivo com dashboards e gráficos interativos.</w:t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Ttulo2"/>
        <w:rPr>
          <w:rFonts w:ascii="Arial" w:hAnsi="Arial" w:eastAsia="" w:cs="Arial" w:eastAsiaTheme="minorEastAsia"/>
          <w:color w:val="000000" w:themeColor="text1"/>
        </w:rPr>
      </w:pPr>
      <w:bookmarkStart w:id="3" w:name="_Toc209978974"/>
      <w:r>
        <w:rPr>
          <w:rFonts w:eastAsia="" w:cs="Arial" w:ascii="Arial" w:hAnsi="Arial" w:eastAsiaTheme="minorEastAsia"/>
          <w:color w:val="000000" w:themeColor="text1"/>
        </w:rPr>
        <w:t>2.2. Fundamentação Econômica e Valor Proposto</w:t>
      </w:r>
      <w:bookmarkEnd w:id="3"/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Com base em dados da revista "Observatorio de La economía", a Minato Wasabi — pioneira no cultivo brasileiro — produz uma média de 8 kg/mês, comercializados a R$ 8.000/kg junto a restaurantes. Em condições ideais, uma safra de dois anos poderia gerar uma receita bruta projetada de R$ 1.536.000.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Contudo, o investimento inicial para a implementação do cultivo foi de R$ 479.675 (conforme detalhado em tabela de custos, incluindo insumos, infraestrutura e mão de obra). Para que a lucratividade esperada se concretize, é crucial que nenhuma perda significativa ocorra ao longo desse ciclo — um cenário improvável sem o controle rigoroso de variáveis críticas como a temperatura e umidade.</w:t>
      </w:r>
    </w:p>
    <w:p>
      <w:pPr>
        <w:pStyle w:val="Ttulo2"/>
        <w:rPr>
          <w:rFonts w:ascii="Arial" w:hAnsi="Arial" w:eastAsia="" w:cs="Arial" w:eastAsiaTheme="minorEastAsia"/>
          <w:color w:val="000000" w:themeColor="text1"/>
        </w:rPr>
      </w:pPr>
      <w:bookmarkStart w:id="4" w:name="_Toc209978975"/>
      <w:r>
        <w:rPr>
          <w:rFonts w:eastAsia="" w:cs="Arial" w:ascii="Arial" w:hAnsi="Arial" w:eastAsiaTheme="minorEastAsia"/>
          <w:color w:val="000000" w:themeColor="text1"/>
        </w:rPr>
        <w:t>2.3. Redução de Riscos e Maximização de Resultados</w:t>
      </w:r>
      <w:bookmarkEnd w:id="4"/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Dada a sensibilidade do wasabi, qualquer intercorrência no cultivo acarreta prejuízos substanciais — não apenas financeiros, mas também em termos de recursos aplicados (água, solo, mudas) e danos à reputação do produtor.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 xml:space="preserve">Nosso sistema atua diretamente na prevenção de perdas e na otimização da qualidade final do produto. Com um controle ambiental mais preciso, as empresas garantem que o wasabi atinja seu padrão máximo de sabor, frescor e textura, atributos que permitem a comercialização por preços ainda mais competitivos. Dessa forma, a solução não apenas protege o investimento, mas também se torna um diferencial estratégico, elevando o prestígio e a rentabilidade do negócio. 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/>
        <w:drawing>
          <wp:inline distT="0" distB="0" distL="0" distR="0">
            <wp:extent cx="5808345" cy="4030980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34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Ttulo1"/>
        <w:rPr>
          <w:rFonts w:ascii="Arial" w:hAnsi="Arial" w:eastAsia="" w:cs="Arial" w:eastAsiaTheme="minorEastAsia"/>
          <w:b/>
          <w:b/>
          <w:bCs/>
        </w:rPr>
      </w:pPr>
      <w:bookmarkStart w:id="5" w:name="_Toc209978976"/>
      <w:r>
        <w:rPr/>
        <w:t>JUSTIFICATIVA</w:t>
      </w:r>
      <w:bookmarkEnd w:id="5"/>
    </w:p>
    <w:p>
      <w:pPr>
        <w:pStyle w:val="Normal"/>
        <w:rPr>
          <w:rFonts w:ascii="Arial" w:hAnsi="Arial" w:eastAsia="" w:cs="Arial" w:eastAsiaTheme="minorEastAsia"/>
          <w:b/>
          <w:b/>
          <w:bCs/>
        </w:rPr>
      </w:pPr>
      <w:r>
        <w:rPr/>
      </w:r>
    </w:p>
    <w:p>
      <w:pPr>
        <w:pStyle w:val="Normal"/>
        <w:spacing w:lineRule="auto" w:line="360"/>
        <w:ind w:firstLine="708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Com base no exposto, justifica-se a implementação do sistema de monitoramento de temperatura e umidade como um investimento estratégico e necessário para a consolidação do cultivo de wasabi no Brasil. A sensibilidade da </w:t>
      </w:r>
      <w:r>
        <w:rPr>
          <w:rFonts w:eastAsia="" w:cs="Arial" w:ascii="Arial" w:hAnsi="Arial" w:eastAsiaTheme="minorEastAsia"/>
          <w:i/>
          <w:iCs/>
        </w:rPr>
        <w:t>Wasabia japonica</w:t>
      </w:r>
      <w:r>
        <w:rPr>
          <w:rFonts w:eastAsia="" w:cs="Arial" w:ascii="Arial" w:hAnsi="Arial" w:eastAsiaTheme="minorEastAsia"/>
        </w:rPr>
        <w:t> à variações em sua umidade e temperatura constitui o principal fator de risco operacional, uma vez que a exposição inadequada, mesmo que pontual, pode comprometer irreversivelmente a qualidade e o rendimento da safra. Considerando o elevado valor de mercado do produto, que atinge R$ 8.000 por quilograma, e os expressivos investimentos iniciais requeridos para o cultivo — superiores a R$ 450 mil —, qualquer evento de estresse representa um prejuízo financeiro substancial e uma ameaça à viabilidade econômica do empreendimento.</w:t>
      </w:r>
    </w:p>
    <w:p>
      <w:pPr>
        <w:pStyle w:val="Normal"/>
        <w:spacing w:lineRule="auto" w:line="360"/>
        <w:ind w:firstLine="708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O sistema proposto atua diretamente na mitigação deste risco crítico, oferecendo monitoramento contínuo e emissão de alertas precisos para intervenção imediata. Esta solução não apenas previne perdas, como também assegura a manutenção dos padrões de qualidade que permitem a comercialização do wasabi em seu patamar máximo de valor. Desta forma, o sistema transcende sua função operacional, posicionando-se como um pilar para a segurança produtiva, a otimização de recursos e a geração de um diferencial competitivo sustentável no mercado de alimentos premium. A proteção do investimento e a maximização do retorno financeiro tornam esta iniciativa não apenas recomendável, mas indispensável para qualquer produtor que almeje a excelência e a lucratividade neste segmento de alto risco e alta remuneração.</w:t>
      </w:r>
    </w:p>
    <w:p>
      <w:pPr>
        <w:pStyle w:val="Normal"/>
        <w:spacing w:lineRule="auto" w:line="360"/>
        <w:ind w:firstLine="708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/>
        <w:ind w:firstLine="708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Ttulo1"/>
        <w:rPr>
          <w:rFonts w:ascii="Arial" w:hAnsi="Arial" w:eastAsia="" w:cs="Arial" w:eastAsiaTheme="minorEastAsia"/>
          <w:b/>
          <w:b/>
          <w:bCs/>
        </w:rPr>
      </w:pPr>
      <w:bookmarkStart w:id="6" w:name="_Toc209978977"/>
      <w:r>
        <w:rPr/>
        <w:t>ESCOPO</w:t>
      </w:r>
      <w:bookmarkEnd w:id="6"/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360"/>
        <w:ind w:firstLine="708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O projeto compreende o desenvolvimento e a implementação de um sistema integrado de monitoramento eletrônico e d</w:t>
        <w:softHyphen/>
        <w:softHyphen/>
        <w:softHyphen/>
        <w:softHyphen/>
        <w:t>igital, destinado à medição em tempo real dos níveis de temperatura e umidade relativa ao ar, em cultivos de wasabi. A arquitetura do sistema é baseada na utilização de sensores interligados, responsável pela aquisição e transmissão dos dados para um banco de dados local. As informações coletadas serão processadas e disponibilizadas por meio de uma plataforma web interativa, que incluirá painéis visuais e representações gráficas para análise, além de dispor de funcionalidade de notificação automática quando os níveis de estabelecidos excederem os parâmetros ideais para o cultivo.</w:t>
      </w:r>
    </w:p>
    <w:p>
      <w:pPr>
        <w:pStyle w:val="ListParagraph"/>
        <w:numPr>
          <w:ilvl w:val="0"/>
          <w:numId w:val="1"/>
        </w:numPr>
        <w:spacing w:lineRule="auto" w:line="360"/>
        <w:ind w:left="0" w:hanging="0"/>
        <w:jc w:val="both"/>
        <w:outlineLvl w:val="1"/>
        <w:rPr>
          <w:rFonts w:ascii="Arial" w:hAnsi="Arial" w:eastAsia="" w:cs="Arial" w:eastAsiaTheme="minorEastAsia"/>
        </w:rPr>
      </w:pPr>
      <w:bookmarkStart w:id="7" w:name="_Toc209978978"/>
      <w:r>
        <w:rPr>
          <w:rStyle w:val="Heading1Char"/>
        </w:rPr>
        <w:t>LIMITES</w:t>
      </w:r>
      <w:r>
        <w:rPr>
          <w:rFonts w:eastAsia="" w:cs="Arial" w:ascii="Arial" w:hAnsi="Arial" w:eastAsiaTheme="minorEastAsia"/>
          <w:b/>
          <w:bCs/>
        </w:rPr>
        <w:t>:</w:t>
      </w:r>
      <w:bookmarkEnd w:id="7"/>
    </w:p>
    <w:p>
      <w:pPr>
        <w:pStyle w:val="ListParagraph"/>
        <w:numPr>
          <w:ilvl w:val="1"/>
          <w:numId w:val="1"/>
        </w:numPr>
        <w:spacing w:lineRule="auto" w:line="360" w:before="240" w:after="0"/>
        <w:ind w:left="0" w:firstLine="709"/>
        <w:contextualSpacing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 xml:space="preserve">Instalação dos sensores </w:t>
      </w:r>
      <w:r>
        <w:rPr>
          <w:rFonts w:eastAsia="" w:cs="Arial" w:ascii="Arial" w:hAnsi="Arial" w:eastAsiaTheme="minorEastAsia"/>
          <w:b/>
          <w:bCs/>
        </w:rPr>
        <w:t>DHT11</w:t>
      </w:r>
      <w:r>
        <w:rPr>
          <w:rFonts w:eastAsia="" w:cs="Arial" w:ascii="Arial" w:hAnsi="Arial" w:eastAsiaTheme="minorEastAsia"/>
        </w:rPr>
        <w:t xml:space="preserve"> que, são propícios à verificação de umidade e temperatura, nas lavouras e sítios de cultivos indicados para a medição.</w:t>
      </w:r>
    </w:p>
    <w:p>
      <w:pPr>
        <w:pStyle w:val="ListParagraph"/>
        <w:numPr>
          <w:ilvl w:val="1"/>
          <w:numId w:val="1"/>
        </w:numPr>
        <w:spacing w:lineRule="auto" w:line="360" w:before="0" w:after="0"/>
        <w:ind w:left="0" w:firstLine="709"/>
        <w:contextualSpacing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 xml:space="preserve">Criação de dados em MySQL, para armazenamento de dados de aferimento de temperatura;   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1.3. Disponibilizar um ambiente para a criação de login em nosso site institucional;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1.4. Disponibilizar um ambiente de visualização, com exposição de gráficos feitos com os dados coletados, na página do cliente (após a realização de login), para que o cliente tome providências caso a temperatura esteja acima do ideal para a criação de trutas-arco-íris;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1.5. Garantir a manutenção do site com base em bugs e erros encontrados durante o uso no período de 60 dias, de forma que o sistema funcione adequadamente;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1.6. Disponibilizar suporte técnico remoto e manual de uso para o cliente durante o período de 60 dias.</w:t>
      </w:r>
    </w:p>
    <w:p>
      <w:pPr>
        <w:pStyle w:val="Normal"/>
        <w:spacing w:lineRule="auto" w:line="360" w:before="0" w:after="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360"/>
        <w:ind w:left="0" w:hanging="0"/>
        <w:jc w:val="both"/>
        <w:outlineLvl w:val="1"/>
        <w:rPr>
          <w:rFonts w:ascii="Arial" w:hAnsi="Arial" w:eastAsia="" w:cs="Arial" w:eastAsiaTheme="minorEastAsia"/>
        </w:rPr>
      </w:pPr>
      <w:bookmarkStart w:id="8" w:name="_Toc209978979"/>
      <w:r>
        <w:rPr>
          <w:rStyle w:val="Heading1Char"/>
        </w:rPr>
        <w:t>EXCLUSÕES</w:t>
      </w:r>
      <w:r>
        <w:rPr>
          <w:rFonts w:eastAsia="" w:cs="Arial" w:ascii="Arial" w:hAnsi="Arial" w:eastAsiaTheme="minorEastAsia"/>
          <w:b/>
          <w:bCs/>
        </w:rPr>
        <w:t>:</w:t>
      </w:r>
      <w:bookmarkEnd w:id="8"/>
    </w:p>
    <w:p>
      <w:pPr>
        <w:pStyle w:val="ListParagraph"/>
        <w:numPr>
          <w:ilvl w:val="1"/>
          <w:numId w:val="1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Arial" w:cs="Arial" w:ascii="Arial" w:hAnsi="Arial"/>
        </w:rPr>
        <w:t>Instalar sistemas de refrigeração de água. O cliente é responsável pelas decisões tomadas e procedimentos necessários para o resfriamento da água dos tanques para a temperatura ideal de cada reservatório para a truticultura;</w:t>
      </w:r>
    </w:p>
    <w:p>
      <w:pPr>
        <w:pStyle w:val="ListParagraph"/>
        <w:numPr>
          <w:ilvl w:val="1"/>
          <w:numId w:val="1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Arial" w:cs="Arial" w:ascii="Arial" w:hAnsi="Arial"/>
        </w:rPr>
        <w:t>Atualizações futuras e/ou reparos no software após 60 dias da instalação.</w:t>
      </w:r>
    </w:p>
    <w:p>
      <w:pPr>
        <w:pStyle w:val="ListParagraph"/>
        <w:numPr>
          <w:ilvl w:val="1"/>
          <w:numId w:val="1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Arial" w:cs="Arial" w:ascii="Arial" w:hAnsi="Arial"/>
        </w:rPr>
        <w:t>Garantir diretamente resultados de aumento de safra ou redução de mortalidade, visto que tais fatores dependem também do manejo do cliente.</w:t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360"/>
        <w:ind w:left="0" w:hanging="0"/>
        <w:jc w:val="both"/>
        <w:outlineLvl w:val="1"/>
        <w:rPr>
          <w:rFonts w:ascii="Arial" w:hAnsi="Arial" w:eastAsia="" w:cs="Arial" w:eastAsiaTheme="minorEastAsia"/>
        </w:rPr>
      </w:pPr>
      <w:bookmarkStart w:id="9" w:name="_Toc209978980"/>
      <w:r>
        <w:rPr>
          <w:rStyle w:val="Heading1Char"/>
        </w:rPr>
        <w:t>ENTREGÁVEIS</w:t>
      </w:r>
      <w:r>
        <w:rPr>
          <w:rFonts w:eastAsia="" w:cs="Arial" w:ascii="Arial" w:hAnsi="Arial" w:eastAsiaTheme="minorEastAsia"/>
          <w:b/>
          <w:bCs/>
        </w:rPr>
        <w:t>:</w:t>
      </w:r>
      <w:bookmarkEnd w:id="9"/>
    </w:p>
    <w:p>
      <w:pPr>
        <w:pStyle w:val="ListParagraph"/>
        <w:numPr>
          <w:ilvl w:val="0"/>
          <w:numId w:val="0"/>
        </w:numPr>
        <w:spacing w:lineRule="auto" w:line="360"/>
        <w:ind w:left="0" w:hanging="0"/>
        <w:jc w:val="both"/>
        <w:outlineLvl w:val="1"/>
        <w:rPr>
          <w:rStyle w:val="Heading1Char"/>
        </w:rPr>
      </w:pPr>
      <w:r>
        <w:rPr/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outlineLvl w:val="1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Instalação do sensor DHT11, com o devido funcionamento;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outlineLvl w:val="1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Banco de dados operante, com armazenamento de informações recebidas;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outlineLvl w:val="1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Ambiente on-line com cadastro dos demais clientes;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outlineLvl w:val="1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Gráfico e relatórios atualizados com base nos dados coletados;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outlineLvl w:val="1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 xml:space="preserve">Período de suporte e manutenção por 60 dias. </w:t>
      </w:r>
    </w:p>
    <w:p>
      <w:pPr>
        <w:pStyle w:val="ListParagraph"/>
        <w:spacing w:lineRule="auto" w:line="360" w:before="0" w:after="0"/>
        <w:ind w:left="709" w:hanging="0"/>
        <w:contextualSpacing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" w:cs="Arial" w:eastAsiaTheme="minorEastAsia" w:ascii="Arial" w:hAnsi="Arial"/>
          <w:b/>
          <w:bCs/>
        </w:rPr>
      </w:r>
    </w:p>
    <w:p>
      <w:pPr>
        <w:pStyle w:val="Ttulo1"/>
        <w:spacing w:before="240" w:after="240"/>
        <w:rPr>
          <w:rFonts w:eastAsia="" w:eastAsiaTheme="minorEastAsia"/>
        </w:rPr>
      </w:pPr>
      <w:bookmarkStart w:id="10" w:name="_Toc209978981"/>
      <w:r>
        <w:rPr>
          <w:rFonts w:eastAsia="" w:eastAsiaTheme="minorEastAsia"/>
        </w:rPr>
        <w:t xml:space="preserve">SOBRE O SENSOR </w:t>
      </w:r>
      <w:bookmarkEnd w:id="10"/>
      <w:r>
        <w:rPr>
          <w:rFonts w:eastAsia="" w:cs="Arial" w:eastAsiaTheme="minorEastAsia"/>
        </w:rPr>
        <w:t>DHT11</w:t>
      </w:r>
    </w:p>
    <w:p>
      <w:pPr>
        <w:pStyle w:val="Normal"/>
        <w:spacing w:lineRule="auto" w:line="360" w:before="0" w:after="240"/>
        <w:ind w:firstLine="709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Este é o sensor mais indicado para medir temperatura e umidade relativa do ar, especialmente em projetos de Arduino. Possui as características técnicas conforme ao quadro 1, abaixo.</w:t>
      </w:r>
    </w:p>
    <w:p>
      <w:pPr>
        <w:pStyle w:val="Normal"/>
        <w:spacing w:lineRule="auto" w:line="360" w:before="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>Quadro 1.</w:t>
      </w:r>
      <w:r>
        <w:rPr>
          <w:rFonts w:eastAsia="" w:cs="Arial" w:ascii="Arial" w:hAnsi="Arial" w:eastAsiaTheme="minorEastAsia"/>
          <w:sz w:val="22"/>
          <w:szCs w:val="22"/>
        </w:rPr>
        <w:t xml:space="preserve"> Detalhes técnicos referentes ao sensor DHT11.</w:t>
      </w:r>
    </w:p>
    <w:tbl>
      <w:tblPr>
        <w:tblStyle w:val="TableGrid"/>
        <w:tblW w:w="901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79"/>
        <w:gridCol w:w="7036"/>
      </w:tblGrid>
      <w:tr>
        <w:trPr/>
        <w:tc>
          <w:tcPr>
            <w:tcW w:w="1979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b/>
                <w:bCs/>
                <w:sz w:val="20"/>
                <w:szCs w:val="20"/>
              </w:rPr>
              <w:t>Faixa de medição</w:t>
            </w:r>
          </w:p>
        </w:tc>
        <w:tc>
          <w:tcPr>
            <w:tcW w:w="7036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sz w:val="20"/>
                <w:szCs w:val="20"/>
              </w:rPr>
              <w:t xml:space="preserve">0°C a 50°C. 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7036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sz w:val="20"/>
                <w:szCs w:val="20"/>
              </w:rPr>
              <w:t>± 2°C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b/>
                <w:bCs/>
                <w:sz w:val="20"/>
                <w:szCs w:val="20"/>
              </w:rPr>
              <w:t>Comunicação</w:t>
            </w:r>
          </w:p>
        </w:tc>
        <w:tc>
          <w:tcPr>
            <w:tcW w:w="7036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sz w:val="20"/>
                <w:szCs w:val="20"/>
              </w:rPr>
              <w:t xml:space="preserve">Utiliza o protocolo 1-Wire, que requer apenas um fio para comunicação e permite conectar múltiplos sensores no mesmo pino do Arduino. 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b/>
                <w:bCs/>
                <w:sz w:val="20"/>
                <w:szCs w:val="20"/>
              </w:rPr>
              <w:t>Resistência à umidade</w:t>
            </w:r>
          </w:p>
        </w:tc>
        <w:tc>
          <w:tcPr>
            <w:tcW w:w="7036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sz w:val="20"/>
                <w:szCs w:val="20"/>
              </w:rPr>
              <w:t>O Sensor possui a resistência necessária para lidar com a umidade proveniente da condensação de ambientes de plantio, como estufas.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b/>
                <w:bCs/>
                <w:sz w:val="20"/>
                <w:szCs w:val="20"/>
              </w:rPr>
              <w:t>Conexão</w:t>
            </w:r>
          </w:p>
        </w:tc>
        <w:tc>
          <w:tcPr>
            <w:tcW w:w="7036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sz w:val="20"/>
                <w:szCs w:val="20"/>
              </w:rPr>
              <w:t>Ligar o VCC ao 5V, GND ao GND e o pino de dados a um pino digital do Arduino (por exemplo, D10), usando um resistor pull-up de 4.7kΩ.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b/>
                <w:bCs/>
                <w:sz w:val="20"/>
                <w:szCs w:val="20"/>
              </w:rPr>
              <w:t>Preço</w:t>
            </w:r>
          </w:p>
        </w:tc>
        <w:tc>
          <w:tcPr>
            <w:tcW w:w="7036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sz w:val="20"/>
                <w:szCs w:val="20"/>
              </w:rPr>
            </w:pPr>
            <w:r>
              <w:rPr>
                <w:rFonts w:eastAsia="" w:cs="Arial" w:ascii="Arial" w:hAnsi="Arial" w:eastAsiaTheme="minorEastAsia"/>
                <w:sz w:val="20"/>
                <w:szCs w:val="20"/>
              </w:rPr>
              <w:t xml:space="preserve">R$ 19,70 </w:t>
            </w:r>
          </w:p>
        </w:tc>
      </w:tr>
    </w:tbl>
    <w:p>
      <w:pPr>
        <w:pStyle w:val="Normal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eastAsiaTheme="minorEastAsia" w:ascii="Arial" w:hAnsi="Arial"/>
          <w:sz w:val="22"/>
          <w:szCs w:val="22"/>
        </w:rPr>
      </w:r>
    </w:p>
    <w:p>
      <w:pPr>
        <w:pStyle w:val="Normal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eastAsiaTheme="minorEastAsia" w:ascii="Arial" w:hAnsi="Arial"/>
          <w:sz w:val="22"/>
          <w:szCs w:val="22"/>
        </w:rPr>
      </w:r>
    </w:p>
    <w:p>
      <w:pPr>
        <w:pStyle w:val="Normal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eastAsiaTheme="minorEastAsia" w:ascii="Arial" w:hAnsi="Arial"/>
          <w:sz w:val="22"/>
          <w:szCs w:val="22"/>
        </w:rPr>
      </w:r>
    </w:p>
    <w:p>
      <w:pPr>
        <w:pStyle w:val="Normal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eastAsiaTheme="minorEastAsia" w:ascii="Arial" w:hAnsi="Arial"/>
          <w:sz w:val="22"/>
          <w:szCs w:val="22"/>
        </w:rPr>
      </w:r>
    </w:p>
    <w:p>
      <w:pPr>
        <w:pStyle w:val="Normal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sz w:val="22"/>
          <w:szCs w:val="22"/>
        </w:rPr>
        <w:t>Fonte: www.eletrogate.com</w:t>
      </w:r>
    </w:p>
    <w:p>
      <w:pPr>
        <w:pStyle w:val="ListParagraph"/>
        <w:numPr>
          <w:ilvl w:val="0"/>
          <w:numId w:val="1"/>
        </w:numPr>
        <w:spacing w:lineRule="auto" w:line="360"/>
        <w:ind w:left="0" w:hanging="0"/>
        <w:jc w:val="both"/>
        <w:rPr>
          <w:rFonts w:ascii="Arial" w:hAnsi="Arial" w:eastAsia="" w:cs="Arial" w:eastAsiaTheme="minorEastAsia"/>
          <w:b/>
          <w:b/>
          <w:bCs/>
        </w:rPr>
      </w:pPr>
      <w:bookmarkStart w:id="11" w:name="_Toc209978982"/>
      <w:r>
        <w:rPr>
          <w:rStyle w:val="Heading1Char"/>
        </w:rPr>
        <w:t>PREMISSAS</w:t>
      </w:r>
      <w:bookmarkEnd w:id="11"/>
      <w:r>
        <w:rPr>
          <w:rFonts w:eastAsia="" w:cs="Arial" w:ascii="Arial" w:hAnsi="Arial" w:eastAsiaTheme="minorEastAsia"/>
          <w:b/>
          <w:bCs/>
        </w:rPr>
        <w:t>:</w:t>
      </w:r>
    </w:p>
    <w:p>
      <w:pPr>
        <w:pStyle w:val="ListParagraph"/>
        <w:spacing w:lineRule="auto" w:line="360"/>
        <w:ind w:left="0" w:hanging="0"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" w:cs="Arial" w:eastAsiaTheme="minorEastAsia" w:ascii="Arial" w:hAnsi="Arial"/>
          <w:b/>
          <w:bCs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O cliente fornecerá acesso adequado aos solo de plantio, para instalação dos sensores;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 </w:t>
      </w:r>
      <w:r>
        <w:rPr>
          <w:rFonts w:eastAsia="Arial" w:cs="Arial" w:ascii="Arial" w:hAnsi="Arial"/>
        </w:rPr>
        <w:t>O cliente disponibilizará energia elétrica e conexão à internet estáveis para o funcionamento contínuo do sistema;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 </w:t>
      </w:r>
      <w:r>
        <w:rPr>
          <w:rFonts w:eastAsia="Arial" w:cs="Arial" w:ascii="Arial" w:hAnsi="Arial"/>
        </w:rPr>
        <w:t>O cliente seguirá as orientações básicas de uso fornecidas pela equipe de suporte.</w:t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360"/>
        <w:ind w:left="0" w:hanging="0"/>
        <w:jc w:val="both"/>
        <w:rPr>
          <w:rFonts w:ascii="Arial" w:hAnsi="Arial" w:eastAsia="" w:cs="Arial" w:eastAsiaTheme="minorEastAsia"/>
          <w:b/>
          <w:b/>
          <w:bCs/>
        </w:rPr>
      </w:pPr>
      <w:bookmarkStart w:id="12" w:name="_Toc209978983"/>
      <w:r>
        <w:rPr>
          <w:rStyle w:val="Heading1Char"/>
        </w:rPr>
        <w:t>RESTRIÇÕES</w:t>
      </w:r>
      <w:bookmarkEnd w:id="12"/>
      <w:r>
        <w:rPr>
          <w:rFonts w:eastAsia="" w:cs="Arial" w:ascii="Arial" w:hAnsi="Arial" w:eastAsiaTheme="minorEastAsia"/>
          <w:b/>
          <w:bCs/>
        </w:rPr>
        <w:t>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O projeto se limita ao monitoramento de temperatura e umidade do ar, não abrangendo parâmetros adicionais (como oxigênio dissolvido, pH ou turbidez);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 manutenção corretiva será prestada apenas durante os 60 dias após a entrega final;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left="714" w:hanging="357"/>
        <w:contextualSpacing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Alterações de escopo solicitadas pelo cliente após a entrega inicial poderão implicar novos custos e prazos.</w:t>
      </w:r>
    </w:p>
    <w:p>
      <w:pPr>
        <w:pStyle w:val="Normal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  <w:r>
        <w:br w:type="page"/>
      </w:r>
    </w:p>
    <w:p>
      <w:pPr>
        <w:pStyle w:val="Ttulo1"/>
        <w:numPr>
          <w:ilvl w:val="0"/>
          <w:numId w:val="1"/>
        </w:numPr>
        <w:spacing w:before="240" w:after="240"/>
        <w:ind w:left="0" w:hanging="0"/>
        <w:rPr>
          <w:rFonts w:eastAsia="" w:eastAsiaTheme="minorEastAsia"/>
        </w:rPr>
      </w:pPr>
      <w:bookmarkStart w:id="13" w:name="_Toc209978984"/>
      <w:r>
        <w:rPr>
          <w:rFonts w:eastAsia="" w:eastAsiaTheme="minorEastAsia"/>
        </w:rPr>
        <w:t>DIAGRAMA DE SOLUÇÃO E DE NEGÓCIOS</w:t>
      </w:r>
      <w:bookmarkEnd w:id="13"/>
    </w:p>
    <w:p>
      <w:pPr>
        <w:pStyle w:val="Normal"/>
        <w:ind w:firstLine="708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A seguir, são apresentados os diagramas relacionados ao projeto. Em primeiro lugar, na figura 1, um diagrama simplificado da solução proposta. A seguir, na figura 2, o diagrama de negócios.</w:t>
      </w:r>
    </w:p>
    <w:p>
      <w:pPr>
        <w:pStyle w:val="Normal"/>
        <w:spacing w:before="240" w:after="0"/>
        <w:jc w:val="both"/>
        <w:rPr>
          <w:sz w:val="22"/>
          <w:szCs w:val="22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135255</wp:posOffset>
            </wp:positionH>
            <wp:positionV relativeFrom="paragraph">
              <wp:posOffset>-45085</wp:posOffset>
            </wp:positionV>
            <wp:extent cx="5760085" cy="3236595"/>
            <wp:effectExtent l="0" t="0" r="0" b="0"/>
            <wp:wrapSquare wrapText="largest"/>
            <wp:docPr id="3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" w:cs="Arial" w:ascii="Arial" w:hAnsi="Arial" w:eastAsiaTheme="minorEastAsia"/>
          <w:b/>
          <w:bCs/>
          <w:sz w:val="22"/>
          <w:szCs w:val="22"/>
        </w:rPr>
        <w:t>F</w:t>
      </w:r>
      <w:r>
        <w:rPr>
          <w:rFonts w:eastAsia="" w:cs="Arial" w:ascii="Arial" w:hAnsi="Arial" w:eastAsiaTheme="minorEastAsia"/>
          <w:b/>
          <w:bCs/>
          <w:sz w:val="22"/>
          <w:szCs w:val="22"/>
        </w:rPr>
        <w:t>igura 1.</w:t>
      </w:r>
      <w:r>
        <w:rPr>
          <w:rFonts w:eastAsia="" w:cs="Arial" w:ascii="Arial" w:hAnsi="Arial" w:eastAsiaTheme="minorEastAsia"/>
          <w:sz w:val="22"/>
          <w:szCs w:val="22"/>
        </w:rPr>
        <w:t xml:space="preserve"> Diagrama de solução para o cultivo de Wasabi com monitoramento dinâmico de temperatura e umidade.</w:t>
      </w:r>
    </w:p>
    <w:p>
      <w:pPr>
        <w:pStyle w:val="Normal"/>
        <w:spacing w:lineRule="auto" w:line="240" w:before="24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Fonte: </w:t>
      </w:r>
      <w:r>
        <w:rPr>
          <w:rFonts w:eastAsia="" w:cs="Arial" w:ascii="Arial" w:hAnsi="Arial" w:eastAsiaTheme="minorEastAsia"/>
          <w:sz w:val="22"/>
          <w:szCs w:val="22"/>
        </w:rPr>
        <w:t>Hikari Wasabi, 2025.</w:t>
      </w:r>
    </w:p>
    <w:p>
      <w:pPr>
        <w:pStyle w:val="Normal"/>
        <w:spacing w:lineRule="auto" w:line="240" w:before="0" w:after="0"/>
        <w:jc w:val="center"/>
        <w:rPr>
          <w:rFonts w:ascii="Arial" w:hAnsi="Arial" w:eastAsia="" w:cs="Arial" w:eastAsiaTheme="minorEastAsia"/>
          <w:b/>
          <w:b/>
          <w:bCs/>
        </w:rPr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-246380</wp:posOffset>
            </wp:positionH>
            <wp:positionV relativeFrom="paragraph">
              <wp:posOffset>118745</wp:posOffset>
            </wp:positionV>
            <wp:extent cx="5760085" cy="2868930"/>
            <wp:effectExtent l="0" t="0" r="0" b="0"/>
            <wp:wrapSquare wrapText="largest"/>
            <wp:docPr id="4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>Fonte:</w:t>
      </w:r>
      <w:r>
        <w:rPr>
          <w:rFonts w:eastAsia="" w:cs="Arial" w:ascii="Arial" w:hAnsi="Arial" w:eastAsiaTheme="minorEastAsia"/>
          <w:sz w:val="22"/>
          <w:szCs w:val="22"/>
        </w:rPr>
        <w:t xml:space="preserve"> Hikari Wasabi, 2025.</w:t>
      </w: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Figura 2. </w:t>
      </w:r>
      <w:r>
        <w:rPr>
          <w:rFonts w:eastAsia="" w:cs="Arial" w:ascii="Arial" w:hAnsi="Arial" w:eastAsiaTheme="minorEastAsia"/>
          <w:sz w:val="22"/>
          <w:szCs w:val="22"/>
        </w:rPr>
        <w:t>Diagrama de Negócios para o projeto apresentado.</w:t>
      </w:r>
    </w:p>
    <w:p>
      <w:pPr>
        <w:pStyle w:val="Normal"/>
        <w:spacing w:lineRule="auto" w:line="24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Fonte: </w:t>
      </w:r>
      <w:r>
        <w:rPr>
          <w:rFonts w:eastAsia="" w:cs="Arial" w:ascii="Arial" w:hAnsi="Arial" w:eastAsiaTheme="minorEastAsia"/>
          <w:sz w:val="22"/>
          <w:szCs w:val="22"/>
        </w:rPr>
        <w:t>Hikari Wasabi, 2025.</w:t>
      </w:r>
      <w:r>
        <w:br w:type="page"/>
      </w:r>
    </w:p>
    <w:p>
      <w:pPr>
        <w:pStyle w:val="Ttulo1"/>
        <w:numPr>
          <w:ilvl w:val="0"/>
          <w:numId w:val="1"/>
        </w:numPr>
        <w:ind w:left="0" w:hanging="0"/>
        <w:rPr>
          <w:rFonts w:eastAsia="" w:eastAsiaTheme="minorEastAsia"/>
        </w:rPr>
      </w:pPr>
      <w:bookmarkStart w:id="14" w:name="_Toc209978985"/>
      <w:r>
        <w:rPr>
          <w:rFonts w:eastAsia="" w:eastAsiaTheme="minorEastAsia"/>
        </w:rPr>
        <w:t>REQUISITOS – BACKLOG</w:t>
      </w:r>
      <w:bookmarkEnd w:id="14"/>
    </w:p>
    <w:p>
      <w:pPr>
        <w:pStyle w:val="Normal"/>
        <w:rPr>
          <w:rFonts w:ascii="Arial" w:hAnsi="Arial" w:eastAsia="" w:cs="Arial" w:eastAsiaTheme="minorEastAsia"/>
          <w:b/>
          <w:b/>
          <w:bCs/>
        </w:rPr>
      </w:pPr>
      <w:r>
        <w:rPr/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ab/>
        <w:t>Abaixo, na figura 3, uma sistematização dos principais requisitos necessários para o desenvolvimento do projeto, com destaque para a classificação em Essenciais, Importantes ou Desejáveis.</w:t>
      </w:r>
    </w:p>
    <w:p>
      <w:pPr>
        <w:pStyle w:val="Normal"/>
        <w:spacing w:lineRule="auto" w:line="240" w:before="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>Figura 3.</w:t>
      </w:r>
      <w:r>
        <w:rPr>
          <w:rFonts w:eastAsia="" w:cs="Arial" w:ascii="Arial" w:hAnsi="Arial" w:eastAsiaTheme="minorEastAsia"/>
          <w:sz w:val="22"/>
          <w:szCs w:val="22"/>
        </w:rPr>
        <w:t xml:space="preserve"> Back Log – Requisitos para o desenvolvimento do projeto, com descrição e classificação.</w:t>
      </w:r>
    </w:p>
    <w:p>
      <w:pPr>
        <w:pStyle w:val="Normal"/>
        <w:spacing w:lineRule="auto" w:line="240" w:before="0" w:after="0"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" w:cs="Arial" w:eastAsiaTheme="minorEastAsia" w:ascii="Arial" w:hAnsi="Arial"/>
          <w:b/>
          <w:bCs/>
        </w:rPr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Fonte: </w:t>
      </w:r>
      <w:r>
        <w:rPr>
          <w:rFonts w:eastAsia="" w:cs="Arial" w:ascii="Arial" w:hAnsi="Arial" w:eastAsiaTheme="minorEastAsia"/>
          <w:sz w:val="22"/>
          <w:szCs w:val="22"/>
        </w:rPr>
        <w:t>Hikari Solutions.</w:t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  <w:b/>
          <w:bCs/>
        </w:rPr>
        <w:tab/>
      </w:r>
      <w:r>
        <w:rPr>
          <w:rFonts w:eastAsia="" w:cs="Arial" w:ascii="Arial" w:hAnsi="Arial" w:eastAsiaTheme="minorEastAsia"/>
        </w:rPr>
        <w:t>Além disso, na Figura 4 também é demonstrada a organização dos requisitos na forma de objetivos entregáveis por meio da plataforma Trello. Dessa forma, permite-se um maior manejo de recursos humanos, melhor monitoramento do desenvolvimento do projeto e transparência.</w:t>
      </w:r>
    </w:p>
    <w:p>
      <w:pPr>
        <w:pStyle w:val="Normal"/>
        <w:spacing w:lineRule="auto" w:line="240" w:before="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>Figura 4.</w:t>
      </w:r>
      <w:r>
        <w:rPr>
          <w:rFonts w:eastAsia="" w:cs="Arial" w:ascii="Arial" w:hAnsi="Arial" w:eastAsiaTheme="minorEastAsia"/>
          <w:sz w:val="22"/>
          <w:szCs w:val="22"/>
        </w:rPr>
        <w:t xml:space="preserve"> Projeto sistematizado na plataforma Trello.</w:t>
      </w:r>
    </w:p>
    <w:p>
      <w:pPr>
        <w:pStyle w:val="Normal"/>
        <w:spacing w:lineRule="auto" w:line="240" w:before="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Fonte: </w:t>
      </w:r>
      <w:r>
        <w:rPr>
          <w:rFonts w:eastAsia="" w:cs="Arial" w:ascii="Arial" w:hAnsi="Arial" w:eastAsiaTheme="minorEastAsia"/>
          <w:sz w:val="22"/>
          <w:szCs w:val="22"/>
        </w:rPr>
        <w:t>Hikari Wasabi.</w:t>
      </w:r>
    </w:p>
    <w:p>
      <w:pPr>
        <w:pStyle w:val="Normal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eastAsiaTheme="minorEastAsia" w:ascii="Arial" w:hAnsi="Arial"/>
          <w:sz w:val="22"/>
          <w:szCs w:val="22"/>
        </w:rPr>
      </w:r>
      <w:r>
        <w:br w:type="page"/>
      </w:r>
    </w:p>
    <w:p>
      <w:pPr>
        <w:pStyle w:val="Ttulo1"/>
        <w:numPr>
          <w:ilvl w:val="0"/>
          <w:numId w:val="1"/>
        </w:numPr>
        <w:ind w:left="0" w:hanging="0"/>
        <w:rPr>
          <w:rFonts w:eastAsia="" w:eastAsiaTheme="minorEastAsia"/>
        </w:rPr>
      </w:pPr>
      <w:bookmarkStart w:id="15" w:name="_Toc209978986"/>
      <w:r>
        <w:rPr>
          <w:rFonts w:eastAsia="" w:eastAsiaTheme="minorEastAsia"/>
        </w:rPr>
        <w:t>MACROCRONOGRAMA</w:t>
      </w:r>
      <w:bookmarkEnd w:id="15"/>
    </w:p>
    <w:p>
      <w:pPr>
        <w:pStyle w:val="Normal"/>
        <w:rPr>
          <w:rFonts w:ascii="Arial" w:hAnsi="Arial" w:eastAsia="" w:cs="Arial" w:eastAsiaTheme="minorEastAsia"/>
          <w:b/>
          <w:b/>
          <w:bCs/>
        </w:rPr>
      </w:pPr>
      <w:r>
        <w:rPr/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  <w:b/>
          <w:bCs/>
        </w:rPr>
        <w:tab/>
      </w:r>
      <w:r>
        <w:rPr>
          <w:rFonts w:eastAsia="" w:cs="Arial" w:ascii="Arial" w:hAnsi="Arial" w:eastAsiaTheme="minorEastAsia"/>
        </w:rPr>
        <w:t>O projeto está previsto para acontecer conforme o cronograma no quadro 2, abaixo, sujeito a alterações conforme o necessário.</w:t>
      </w:r>
    </w:p>
    <w:p>
      <w:pPr>
        <w:pStyle w:val="Normal"/>
        <w:tabs>
          <w:tab w:val="clear" w:pos="708"/>
          <w:tab w:val="right" w:pos="9071" w:leader="none"/>
        </w:tabs>
        <w:spacing w:lineRule="auto" w:line="240" w:before="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Quadro 2. </w:t>
      </w:r>
      <w:r>
        <w:rPr>
          <w:rFonts w:eastAsia="" w:cs="Arial" w:ascii="Arial" w:hAnsi="Arial" w:eastAsiaTheme="minorEastAsia"/>
          <w:sz w:val="22"/>
          <w:szCs w:val="22"/>
        </w:rPr>
        <w:t>Cronograma aproximado, proposto para o desenvolvimento do projeto.</w:t>
      </w:r>
    </w:p>
    <w:p>
      <w:pPr>
        <w:pStyle w:val="Normal"/>
        <w:tabs>
          <w:tab w:val="clear" w:pos="708"/>
          <w:tab w:val="right" w:pos="9071" w:leader="none"/>
        </w:tabs>
        <w:spacing w:lineRule="auto" w:line="240" w:before="0" w:after="0"/>
        <w:jc w:val="both"/>
        <w:rPr>
          <w:rFonts w:ascii="Arial" w:hAnsi="Arial" w:eastAsia="" w:cs="Arial" w:eastAsiaTheme="minorEastAsia"/>
          <w:sz w:val="22"/>
          <w:szCs w:val="22"/>
        </w:rPr>
      </w:pPr>
      <w:r>
        <w:rPr>
          <w:rFonts w:eastAsia="" w:cs="Arial" w:ascii="Arial" w:hAnsi="Arial" w:eastAsiaTheme="minorEastAsia"/>
          <w:sz w:val="22"/>
          <w:szCs w:val="22"/>
        </w:rPr>
        <w:tab/>
      </w:r>
    </w:p>
    <w:tbl>
      <w:tblPr>
        <w:tblStyle w:val="TableGrid"/>
        <w:tblW w:w="9061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82"/>
        <w:gridCol w:w="1978"/>
      </w:tblGrid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</w:rPr>
            </w:pPr>
            <w:r>
              <w:rPr>
                <w:rFonts w:eastAsia="" w:cs="Arial" w:ascii="Arial" w:hAnsi="Arial" w:eastAsiaTheme="minorEastAsia"/>
                <w:b/>
                <w:bCs/>
              </w:rPr>
              <w:t>Atividade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  <w:b/>
                <w:b/>
                <w:bCs/>
              </w:rPr>
            </w:pPr>
            <w:r>
              <w:rPr>
                <w:rFonts w:eastAsia="" w:cs="Arial" w:ascii="Arial" w:hAnsi="Arial" w:eastAsiaTheme="minorEastAsia"/>
                <w:b/>
                <w:bCs/>
              </w:rPr>
              <w:t>Prazo Previsto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Protótipo de Site para aprovação e testes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10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Elaboração de Apresentação do Projeto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7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Montagem e Teste de Arquitetura do Sensor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10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Programação de Software do Sensor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10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 xml:space="preserve">Organização do Banco de Dados 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14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 xml:space="preserve">Elaboração de Aplicação Virtualizada para Tratamento de Dados 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21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Desenvolvimento de página com Dashboard personalizada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14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Acompanhamento de implementação do sensor e software associado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14 dias</w:t>
            </w:r>
          </w:p>
        </w:tc>
      </w:tr>
      <w:tr>
        <w:trPr/>
        <w:tc>
          <w:tcPr>
            <w:tcW w:w="7082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Fornecimento de suporte técnico após período de testes</w:t>
            </w:r>
          </w:p>
        </w:tc>
        <w:tc>
          <w:tcPr>
            <w:tcW w:w="1978" w:type="dxa"/>
            <w:tcBorders/>
          </w:tcPr>
          <w:p>
            <w:pPr>
              <w:pStyle w:val="Normal"/>
              <w:spacing w:lineRule="auto" w:line="360" w:before="0" w:after="0"/>
              <w:jc w:val="both"/>
              <w:rPr>
                <w:rFonts w:ascii="Arial" w:hAnsi="Arial" w:eastAsia="" w:cs="Arial" w:eastAsiaTheme="minorEastAsia"/>
              </w:rPr>
            </w:pPr>
            <w:r>
              <w:rPr>
                <w:rFonts w:eastAsia="" w:cs="Arial" w:ascii="Arial" w:hAnsi="Arial" w:eastAsiaTheme="minorEastAsia"/>
              </w:rPr>
              <w:t>60 dias</w:t>
            </w:r>
          </w:p>
        </w:tc>
      </w:tr>
    </w:tbl>
    <w:p>
      <w:pPr>
        <w:pStyle w:val="Normal"/>
        <w:spacing w:lineRule="auto" w:line="360"/>
        <w:jc w:val="both"/>
        <w:rPr>
          <w:rFonts w:ascii="Arial" w:hAnsi="Arial" w:eastAsia="" w:cs="Arial" w:eastAsiaTheme="minorEastAsia"/>
          <w:b/>
          <w:b/>
          <w:bCs/>
          <w:sz w:val="22"/>
          <w:szCs w:val="22"/>
        </w:rPr>
      </w:pPr>
      <w:r>
        <w:rPr>
          <w:rFonts w:eastAsia="" w:cs="Arial" w:ascii="Arial" w:hAnsi="Arial" w:eastAsiaTheme="minorEastAsia"/>
          <w:b/>
          <w:bCs/>
          <w:sz w:val="22"/>
          <w:szCs w:val="22"/>
        </w:rPr>
        <w:t xml:space="preserve">Fonte: </w:t>
      </w:r>
      <w:r>
        <w:rPr>
          <w:rFonts w:eastAsia="" w:cs="Arial" w:ascii="Arial" w:hAnsi="Arial" w:eastAsiaTheme="minorEastAsia"/>
          <w:sz w:val="22"/>
          <w:szCs w:val="22"/>
        </w:rPr>
        <w:t>Hikari Wasabi, 2025.</w:t>
      </w:r>
    </w:p>
    <w:p>
      <w:pPr>
        <w:pStyle w:val="Normal"/>
        <w:spacing w:lineRule="auto" w:line="360"/>
        <w:jc w:val="both"/>
        <w:rPr>
          <w:rFonts w:ascii="Arial" w:hAnsi="Arial" w:eastAsia="" w:cs="Arial" w:eastAsiaTheme="minorEastAsia"/>
          <w:b/>
          <w:b/>
          <w:bCs/>
        </w:rPr>
      </w:pPr>
      <w:r>
        <w:rPr>
          <w:rFonts w:eastAsia="" w:cs="Arial" w:eastAsiaTheme="minorEastAsia" w:ascii="Arial" w:hAnsi="Arial"/>
          <w:b/>
          <w:bCs/>
        </w:rPr>
      </w:r>
    </w:p>
    <w:p>
      <w:pPr>
        <w:pStyle w:val="Normal"/>
        <w:rPr>
          <w:rFonts w:ascii="Arial" w:hAnsi="Arial" w:eastAsia="" w:cs="Arial" w:eastAsiaTheme="minorEastAsia"/>
          <w:b/>
          <w:b/>
          <w:bCs/>
        </w:rPr>
      </w:pPr>
      <w:r>
        <w:rPr>
          <w:rFonts w:eastAsia="" w:cs="Arial" w:eastAsiaTheme="minorEastAsia" w:ascii="Arial" w:hAnsi="Arial"/>
          <w:b/>
          <w:bCs/>
        </w:rPr>
      </w:r>
      <w:r>
        <w:br w:type="page"/>
      </w:r>
    </w:p>
    <w:p>
      <w:pPr>
        <w:pStyle w:val="Ttulo1"/>
        <w:rPr>
          <w:rFonts w:eastAsia="" w:eastAsiaTheme="minorEastAsia"/>
        </w:rPr>
      </w:pPr>
      <w:bookmarkStart w:id="16" w:name="_Toc209978987"/>
      <w:r>
        <w:rPr>
          <w:rFonts w:eastAsia="" w:eastAsiaTheme="minorEastAsia"/>
        </w:rPr>
        <w:t>REFERÊNCIAS UTILIZADAS</w:t>
      </w:r>
      <w:bookmarkEnd w:id="16"/>
    </w:p>
    <w:p>
      <w:pPr>
        <w:pStyle w:val="Normal"/>
        <w:spacing w:lineRule="auto" w:line="240"/>
        <w:rPr>
          <w:rFonts w:ascii="Arial" w:hAnsi="Arial" w:eastAsia="" w:cs="Arial" w:eastAsiaTheme="minorEastAsia"/>
        </w:rPr>
      </w:pPr>
      <w:r>
        <w:rPr>
          <w:rFonts w:eastAsia="" w:cs="Arial" w:eastAsiaTheme="minorEastAsia" w:ascii="Arial" w:hAnsi="Arial"/>
        </w:rPr>
      </w:r>
    </w:p>
    <w:p>
      <w:pPr>
        <w:pStyle w:val="Normal"/>
        <w:spacing w:lineRule="auto" w:line="240"/>
        <w:rPr>
          <w:rFonts w:ascii="Arial" w:hAnsi="Arial" w:eastAsia="" w:cs="Arial" w:eastAsiaTheme="minorEastAsia"/>
        </w:rPr>
      </w:pPr>
      <w:r>
        <w:rPr>
          <w:rFonts w:eastAsia="" w:cs="Arial" w:ascii="Arial" w:hAnsi="Arial" w:eastAsiaTheme="minorEastAsia"/>
        </w:rPr>
        <w:t>HANASHIRO, Olgarina. 2003. Disponível em: https://revistas.usp.br/ej/article/view/142911/137780. Acesso em: 28 ago. 2025.</w:t>
        <w:br/>
        <w:br/>
        <w:t>ELETROGATE, 2025. Disponível em:</w:t>
        <w:br/>
      </w:r>
      <w:hyperlink r:id="rId7">
        <w:r>
          <w:rPr>
            <w:rStyle w:val="LinkdaInternet"/>
            <w:rFonts w:eastAsia="" w:cs="Arial" w:ascii="Arial" w:hAnsi="Arial" w:eastAsiaTheme="minorEastAsia"/>
          </w:rPr>
          <w:t>https://www.eletrogate.com/modulo-sensor-de-umidade-e-temperatura-dht11-cabos?srsltid=AfmBOoozrIiHR-g4Rv7tqwOb5GBjoY3YpoRB3Hhx447e25GiouO5aNZC</w:t>
        </w:r>
      </w:hyperlink>
      <w:r>
        <w:rPr>
          <w:rFonts w:eastAsia="" w:cs="Arial" w:ascii="Arial" w:hAnsi="Arial" w:eastAsiaTheme="minorEastAsia"/>
        </w:rPr>
        <w:br/>
        <w:br/>
        <w:t>Minato Wasabi, 2025. Disponível em:</w:t>
        <w:br/>
      </w:r>
      <w:hyperlink r:id="rId8">
        <w:r>
          <w:rPr>
            <w:rStyle w:val="LinkdaInternet"/>
            <w:rFonts w:eastAsia="" w:cs="Arial" w:ascii="Arial" w:hAnsi="Arial" w:eastAsiaTheme="minorEastAsia"/>
          </w:rPr>
          <w:t>https://wbgi.com.br/startups-wbgi/minato-wasabi</w:t>
        </w:r>
      </w:hyperlink>
      <w:r>
        <w:rPr>
          <w:rFonts w:eastAsia="" w:cs="Arial" w:ascii="Arial" w:hAnsi="Arial" w:eastAsiaTheme="minorEastAsia"/>
        </w:rPr>
        <w:br/>
        <w:br/>
        <w:t>Globo Rural, 2022. Disponível em:</w:t>
        <w:br/>
      </w:r>
      <w:hyperlink r:id="rId9">
        <w:r>
          <w:rPr>
            <w:rStyle w:val="LinkdaInternet"/>
            <w:rFonts w:eastAsia="" w:cs="Arial" w:ascii="Arial" w:hAnsi="Arial" w:eastAsiaTheme="minorEastAsia"/>
          </w:rPr>
          <w:t>https://globorural.globo.com/Noticias/Empresas-e-Negocios/noticia/2022/08/neto-de-japoneses-investe-em-wasabi-e-recebe-aporte-de-r-650-mil-para-ampliar-</w:t>
          <w:br/>
          <w:t>producao.html</w:t>
        </w:r>
      </w:hyperlink>
      <w:r>
        <w:rPr>
          <w:rFonts w:eastAsia="" w:cs="Arial" w:ascii="Arial" w:hAnsi="Arial" w:eastAsiaTheme="minorEastAsia"/>
        </w:rPr>
        <w:br/>
        <w:br/>
        <w:t>Arduino CC, 2025. Disponível em:</w:t>
        <w:br/>
      </w:r>
      <w:hyperlink r:id="rId10">
        <w:r>
          <w:rPr>
            <w:rStyle w:val="LinkdaInternet"/>
            <w:rFonts w:eastAsia="" w:cs="Arial" w:ascii="Arial" w:hAnsi="Arial" w:eastAsiaTheme="minorEastAsia"/>
          </w:rPr>
          <w:t>https://www.arduino.cc</w:t>
        </w:r>
      </w:hyperlink>
      <w:r>
        <w:rPr>
          <w:rFonts w:eastAsia="" w:cs="Arial" w:ascii="Arial" w:hAnsi="Arial" w:eastAsiaTheme="minorEastAsia"/>
        </w:rPr>
        <w:br/>
        <w:br/>
      </w:r>
      <w:r>
        <w:rPr/>
        <w:t>DATASHEET DHT11. Texas Instruments, 2025</w:t>
      </w:r>
      <w:r>
        <w:rPr>
          <w:rFonts w:eastAsia="" w:cs="Arial" w:ascii="Arial" w:hAnsi="Arial" w:eastAsiaTheme="minorEastAsia"/>
        </w:rPr>
        <w:br/>
        <w:br/>
        <w:br/>
        <w:br/>
      </w:r>
    </w:p>
    <w:p>
      <w:pPr>
        <w:pStyle w:val="Normal"/>
        <w:spacing w:lineRule="auto" w:line="240" w:before="0" w:after="160"/>
        <w:rPr>
          <w:rFonts w:ascii="Arial" w:hAnsi="Arial" w:eastAsia="" w:cs="Arial" w:eastAsiaTheme="minorEastAsia"/>
        </w:rPr>
      </w:pPr>
      <w:r>
        <w:rPr/>
      </w:r>
    </w:p>
    <w:sectPr>
      <w:footerReference w:type="default" r:id="rId11"/>
      <w:type w:val="nextPage"/>
      <w:pgSz w:w="11906" w:h="16838"/>
      <w:pgMar w:left="1701" w:right="1134" w:header="0" w:top="1701" w:footer="72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519337459"/>
    </w:sdtPr>
    <w:sdtContent>
      <w:p>
        <w:pPr>
          <w:pStyle w:val="Rodap"/>
          <w:jc w:val="right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Rodap"/>
          <w:rPr/>
        </w:pPr>
        <w:r>
          <w:rPr/>
        </w:r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354653630"/>
    </w:sdtPr>
    <w:sdtContent>
      <w:p>
        <w:pPr>
          <w:pStyle w:val="Rodap"/>
          <w:jc w:val="right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  <w:p>
        <w:pPr>
          <w:pStyle w:val="Rodap"/>
          <w:rPr/>
        </w:pPr>
        <w:r>
          <w:rPr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pt-BR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9a376d"/>
    <w:pPr>
      <w:keepNext w:val="true"/>
      <w:keepLines/>
      <w:spacing w:before="240" w:after="0"/>
      <w:outlineLvl w:val="0"/>
    </w:pPr>
    <w:rPr>
      <w:rFonts w:ascii="Arial" w:hAnsi="Arial" w:eastAsia="" w:cs="" w:cstheme="majorBidi" w:eastAsiaTheme="majorEastAsia"/>
      <w:b/>
      <w:sz w:val="28"/>
      <w:szCs w:val="32"/>
    </w:rPr>
  </w:style>
  <w:style w:type="paragraph" w:styleId="Ttulo2">
    <w:name w:val="Heading 2"/>
    <w:basedOn w:val="Normal"/>
    <w:next w:val="Normal"/>
    <w:link w:val="Heading2Char"/>
    <w:uiPriority w:val="9"/>
    <w:semiHidden/>
    <w:unhideWhenUsed/>
    <w:qFormat/>
    <w:rsid w:val="00246e26"/>
    <w:pPr>
      <w:keepNext w:val="true"/>
      <w:keepLines/>
      <w:spacing w:before="40" w:after="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nkdaInternet">
    <w:name w:val="Link da Internet"/>
    <w:basedOn w:val="DefaultParagraphFont"/>
    <w:uiPriority w:val="99"/>
    <w:unhideWhenUsed/>
    <w:rsid w:val="2f23c593"/>
    <w:rPr>
      <w:color w:val="467886"/>
      <w:u w:val="single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72792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31cb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31cb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a376d"/>
    <w:rPr>
      <w:rFonts w:ascii="Arial" w:hAnsi="Arial" w:eastAsia="" w:cs="" w:cstheme="majorBidi" w:eastAsiaTheme="majorEastAsia"/>
      <w:b/>
      <w:sz w:val="2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46e26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26"/>
      <w:szCs w:val="26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246e26"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246e26"/>
    <w:rPr>
      <w:vertAlign w:val="superscript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2f23c593"/>
    <w:pPr>
      <w:spacing w:before="0" w:after="160"/>
      <w:ind w:left="720" w:hanging="0"/>
      <w:contextualSpacing/>
    </w:pPr>
    <w:rPr/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pPr>
      <w:spacing w:lineRule="auto" w:line="24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HeaderChar"/>
    <w:uiPriority w:val="99"/>
    <w:unhideWhenUsed/>
    <w:rsid w:val="00431cb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Rodap">
    <w:name w:val="Footer"/>
    <w:basedOn w:val="Normal"/>
    <w:link w:val="FooterChar"/>
    <w:uiPriority w:val="99"/>
    <w:unhideWhenUsed/>
    <w:rsid w:val="00431cb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TOCHeading">
    <w:name w:val="TOC Heading"/>
    <w:basedOn w:val="Ttulo1"/>
    <w:next w:val="Normal"/>
    <w:uiPriority w:val="39"/>
    <w:unhideWhenUsed/>
    <w:qFormat/>
    <w:rsid w:val="00f67299"/>
    <w:pPr>
      <w:spacing w:lineRule="auto" w:line="25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f1924"/>
    <w:pPr>
      <w:spacing w:before="0" w:after="100"/>
    </w:pPr>
    <w:rPr/>
  </w:style>
  <w:style w:type="paragraph" w:styleId="Sumrio2">
    <w:name w:val="TOC 2"/>
    <w:basedOn w:val="Normal"/>
    <w:next w:val="Normal"/>
    <w:autoRedefine/>
    <w:uiPriority w:val="39"/>
    <w:unhideWhenUsed/>
    <w:rsid w:val="009409f9"/>
    <w:pPr>
      <w:tabs>
        <w:tab w:val="clear" w:pos="708"/>
        <w:tab w:val="left" w:pos="720" w:leader="none"/>
        <w:tab w:val="right" w:pos="9061" w:leader="dot"/>
      </w:tabs>
      <w:spacing w:before="0" w:after="100"/>
      <w:ind w:left="240" w:hanging="0"/>
    </w:pPr>
    <w:rPr>
      <w:rFonts w:ascii="Arial" w:hAnsi="Arial" w:cs="Arial"/>
    </w:rPr>
  </w:style>
  <w:style w:type="paragraph" w:styleId="NormalWeb">
    <w:name w:val="Normal (Web)"/>
    <w:basedOn w:val="Normal"/>
    <w:uiPriority w:val="99"/>
    <w:semiHidden/>
    <w:unhideWhenUsed/>
    <w:qFormat/>
    <w:rsid w:val="00714873"/>
    <w:pPr/>
    <w:rPr>
      <w:rFonts w:ascii="Times New Roman" w:hAnsi="Times New Roman" w:cs="Times New Roman"/>
    </w:rPr>
  </w:style>
  <w:style w:type="paragraph" w:styleId="Notadefim">
    <w:name w:val="Endnote Text"/>
    <w:basedOn w:val="Normal"/>
    <w:link w:val="EndnoteTextChar"/>
    <w:uiPriority w:val="99"/>
    <w:semiHidden/>
    <w:unhideWhenUsed/>
    <w:rsid w:val="00246e26"/>
    <w:pPr>
      <w:spacing w:lineRule="auto" w:line="240" w:before="0" w:after="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image" Target="media/image1.png"/><Relationship Id="rId4" Type="http://schemas.openxmlformats.org/officeDocument/2006/relationships/image" Target="media/image2.jpe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www.eletrogate.com/modulo-sensor-de-umidade-e-temperatura-dht11-cabos?srsltid=AfmBOoozrIiHR-g4Rv7tqwOb5GBjoY3YpoRB3Hhx447e25GiouO5aNZC" TargetMode="External"/><Relationship Id="rId8" Type="http://schemas.openxmlformats.org/officeDocument/2006/relationships/hyperlink" Target="https://wbgi.com.br/startups-wbgi/minato-wasabi" TargetMode="External"/><Relationship Id="rId9" Type="http://schemas.openxmlformats.org/officeDocument/2006/relationships/hyperlink" Target="https://globorural.globo.com/Noticias/Empresas-e-Negocios/noticia/2022/08/neto-de-japoneses-investe-em-wasabi-e-recebe-aporte-de-r-650-mil-para-ampliar-producao.html" TargetMode="External"/><Relationship Id="rId10" Type="http://schemas.openxmlformats.org/officeDocument/2006/relationships/hyperlink" Target="https://www.arduino.cc/" TargetMode="External"/><Relationship Id="rId11" Type="http://schemas.openxmlformats.org/officeDocument/2006/relationships/footer" Target="footer2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44F0D-0A84-45A5-BFE8-EDD3B8FD5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LibreOffice/6.4.7.2$Linux_X86_64 LibreOffice_project/40$Build-2</Application>
  <Pages>16</Pages>
  <Words>2264</Words>
  <Characters>12984</Characters>
  <CharactersWithSpaces>15118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2025-10-27T22:48:00Z</dcterms:created>
  <dc:creator>Deivid Duarte</dc:creator>
  <dc:description/>
  <dc:language>pt-BR</dc:language>
  <cp:lastModifiedBy/>
  <dcterms:modified xsi:type="dcterms:W3CDTF">2025-12-01T14:54:04Z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