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BeInclusive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Jean Lucas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Ítalo Max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Marcel Hikaru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Fabíola Souza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Anita Falchi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Rafael Casotti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Sotiè Ghislain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Samara Alves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usuario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Chave primária do usuário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email → email para cadastro e login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senha → senha para cadastro e login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nome_usuario → Nome do usuário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categoria ENUM → Tipo de usuário (Voluntário, Participante)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postagem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idtb_postagem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chave primária da postagem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titulo → titulo da postagem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descricao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Conteúdo em texto da postagem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url_imagem → Link para inserir imagem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data → Data da postagem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tb_tema_id_tb_tema → Foreign Key da tabela tema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tb_usuario_id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Foreign Key da tabela usuario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tema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id_tb_tema → Chave primária do tema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acesso_azul → para usuários com sintomas de ansiedade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acesso_verde → para usuários com sintomas de depressão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acesso_amarelo → para usuários com sintomas mais preocupantes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