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pPr>
    </w:p>
    <w:p>
      <w:r>
        <w:rPr>
          <w:rFonts w:ascii="Calibri" w:hAnsi="Calibri"/>
          <w:b/>
          <w:color w:val="2E75B6"/>
          <w:sz w:val="20"/>
        </w:rPr>
        <w:t>MARKETINTEL DB TECHNICAL SPECIFICATION — DOC-00</w:t>
      </w:r>
    </w:p>
    <w:p>
      <w:pPr>
        <w:spacing w:before="200" w:after="200"/>
      </w:pPr>
      <w:r>
        <w:rPr>
          <w:rFonts w:ascii="Calibri" w:hAnsi="Calibri"/>
          <w:b/>
          <w:color w:val="1F497D"/>
          <w:sz w:val="52"/>
        </w:rPr>
        <w:t>Master System Architecture &amp; Developer Onboarding Manual</w:t>
      </w:r>
    </w:p>
    <w:p>
      <w:pPr>
        <w:spacing w:after="800"/>
      </w:pPr>
      <w:r>
        <w:rPr>
          <w:rFonts w:ascii="Calibri" w:hAnsi="Calibri"/>
          <w:color w:val="595959"/>
          <w:sz w:val="26"/>
        </w:rPr>
        <w:t>Enterprise Dual-Tier CRM, REA Reconstructed Topology, and End-to-End System Specifications</w:t>
      </w:r>
    </w:p>
    <w:tbl>
      <w:tblPr>
        <w:tblW w:type="auto" w:w="0"/>
        <w:jc w:val="center"/>
        <w:tblLook w:firstColumn="1" w:firstRow="1" w:lastColumn="0" w:lastRow="0" w:noHBand="0" w:noVBand="1" w:val="04A0"/>
      </w:tblPr>
      <w:tblGrid>
        <w:gridCol w:w="4680"/>
        <w:gridCol w:w="4680"/>
      </w:tblGrid>
      <w:tr>
        <w:tc>
          <w:tcPr>
            <w:tcW w:type="dxa" w:w="3168"/>
            <w:shd w:fill="F2F4F8"/>
            <w:tcMar>
              <w:top w:w="80" w:type="dxa"/>
              <w:bottom w:w="80" w:type="dxa"/>
              <w:left w:w="100" w:type="dxa"/>
              <w:right w:w="100" w:type="dxa"/>
            </w:tcMar>
            <w:tcBorders>
              <w:top w:val="none"/>
              <w:left w:val="none"/>
              <w:bottom w:val="single" w:sz="4" w:space="0" w:color="D9D9D9"/>
              <w:right w:val="none"/>
            </w:tcBorders>
          </w:tcPr>
          <w:p>
            <w:r>
              <w:rPr>
                <w:b/>
                <w:color w:val="1F497D"/>
                <w:sz w:val="19"/>
              </w:rPr>
              <w:t>Platform Name</w:t>
            </w:r>
          </w:p>
        </w:tc>
        <w:tc>
          <w:tcPr>
            <w:tcW w:type="dxa" w:w="6192"/>
            <w:shd w:fill="F2F4F8"/>
            <w:tcMar>
              <w:top w:w="80" w:type="dxa"/>
              <w:bottom w:w="80" w:type="dxa"/>
              <w:left w:w="100" w:type="dxa"/>
              <w:right w:w="100" w:type="dxa"/>
            </w:tcMar>
            <w:tcBorders>
              <w:top w:val="none"/>
              <w:left w:val="none"/>
              <w:bottom w:val="single" w:sz="4" w:space="0" w:color="D9D9D9"/>
              <w:right w:val="none"/>
            </w:tcBorders>
          </w:tcPr>
          <w:p>
            <w:r>
              <w:rPr>
                <w:color w:val="262626"/>
                <w:sz w:val="19"/>
              </w:rPr>
              <w:t>MarketIntel DB (Lead Intelligence &amp; CRM Platform)</w:t>
            </w:r>
          </w:p>
        </w:tc>
      </w:tr>
      <w:tr>
        <w:tc>
          <w:tcPr>
            <w:tcW w:type="dxa" w:w="3168"/>
            <w:shd w:fill="FFFFFF"/>
            <w:tcMar>
              <w:top w:w="80" w:type="dxa"/>
              <w:bottom w:w="80" w:type="dxa"/>
              <w:left w:w="100" w:type="dxa"/>
              <w:right w:w="100" w:type="dxa"/>
            </w:tcMar>
            <w:tcBorders>
              <w:top w:val="none"/>
              <w:left w:val="none"/>
              <w:bottom w:val="single" w:sz="4" w:space="0" w:color="D9D9D9"/>
              <w:right w:val="none"/>
            </w:tcBorders>
          </w:tcPr>
          <w:p>
            <w:r>
              <w:rPr>
                <w:b/>
                <w:color w:val="1F497D"/>
                <w:sz w:val="19"/>
              </w:rPr>
              <w:t>Document Identifier</w:t>
            </w:r>
          </w:p>
        </w:tc>
        <w:tc>
          <w:tcPr>
            <w:tcW w:type="dxa" w:w="6192"/>
            <w:shd w:fill="FFFFFF"/>
            <w:tcMar>
              <w:top w:w="80" w:type="dxa"/>
              <w:bottom w:w="80" w:type="dxa"/>
              <w:left w:w="100" w:type="dxa"/>
              <w:right w:w="100" w:type="dxa"/>
            </w:tcMar>
            <w:tcBorders>
              <w:top w:val="none"/>
              <w:left w:val="none"/>
              <w:bottom w:val="single" w:sz="4" w:space="0" w:color="D9D9D9"/>
              <w:right w:val="none"/>
            </w:tcBorders>
          </w:tcPr>
          <w:p>
            <w:r>
              <w:rPr>
                <w:color w:val="262626"/>
                <w:sz w:val="19"/>
              </w:rPr>
              <w:t>DOC-00 (Version 1.0.0)</w:t>
            </w:r>
          </w:p>
        </w:tc>
      </w:tr>
      <w:tr>
        <w:tc>
          <w:tcPr>
            <w:tcW w:type="dxa" w:w="3168"/>
            <w:shd w:fill="F2F4F8"/>
            <w:tcMar>
              <w:top w:w="80" w:type="dxa"/>
              <w:bottom w:w="80" w:type="dxa"/>
              <w:left w:w="100" w:type="dxa"/>
              <w:right w:w="100" w:type="dxa"/>
            </w:tcMar>
            <w:tcBorders>
              <w:top w:val="none"/>
              <w:left w:val="none"/>
              <w:bottom w:val="single" w:sz="4" w:space="0" w:color="D9D9D9"/>
              <w:right w:val="none"/>
            </w:tcBorders>
          </w:tcPr>
          <w:p>
            <w:r>
              <w:rPr>
                <w:b/>
                <w:color w:val="1F497D"/>
                <w:sz w:val="19"/>
              </w:rPr>
              <w:t>Lead Analysis Specialist</w:t>
            </w:r>
          </w:p>
        </w:tc>
        <w:tc>
          <w:tcPr>
            <w:tcW w:type="dxa" w:w="6192"/>
            <w:shd w:fill="F2F4F8"/>
            <w:tcMar>
              <w:top w:w="80" w:type="dxa"/>
              <w:bottom w:w="80" w:type="dxa"/>
              <w:left w:w="100" w:type="dxa"/>
              <w:right w:w="100" w:type="dxa"/>
            </w:tcMar>
            <w:tcBorders>
              <w:top w:val="none"/>
              <w:left w:val="none"/>
              <w:bottom w:val="single" w:sz="4" w:space="0" w:color="D9D9D9"/>
              <w:right w:val="none"/>
            </w:tcBorders>
          </w:tcPr>
          <w:p>
            <w:r>
              <w:rPr>
                <w:color w:val="262626"/>
                <w:sz w:val="19"/>
              </w:rPr>
              <w:t>Agent 13 — Master Architecture &amp; Traceability Lead</w:t>
            </w:r>
          </w:p>
        </w:tc>
      </w:tr>
      <w:tr>
        <w:tc>
          <w:tcPr>
            <w:tcW w:type="dxa" w:w="3168"/>
            <w:shd w:fill="FFFFFF"/>
            <w:tcMar>
              <w:top w:w="80" w:type="dxa"/>
              <w:bottom w:w="80" w:type="dxa"/>
              <w:left w:w="100" w:type="dxa"/>
              <w:right w:w="100" w:type="dxa"/>
            </w:tcMar>
            <w:tcBorders>
              <w:top w:val="none"/>
              <w:left w:val="none"/>
              <w:bottom w:val="single" w:sz="4" w:space="0" w:color="D9D9D9"/>
              <w:right w:val="none"/>
            </w:tcBorders>
          </w:tcPr>
          <w:p>
            <w:r>
              <w:rPr>
                <w:b/>
                <w:color w:val="1F497D"/>
                <w:sz w:val="19"/>
              </w:rPr>
              <w:t>Date of Publication</w:t>
            </w:r>
          </w:p>
        </w:tc>
        <w:tc>
          <w:tcPr>
            <w:tcW w:type="dxa" w:w="6192"/>
            <w:shd w:fill="FFFFFF"/>
            <w:tcMar>
              <w:top w:w="80" w:type="dxa"/>
              <w:bottom w:w="80" w:type="dxa"/>
              <w:left w:w="100" w:type="dxa"/>
              <w:right w:w="100" w:type="dxa"/>
            </w:tcMar>
            <w:tcBorders>
              <w:top w:val="none"/>
              <w:left w:val="none"/>
              <w:bottom w:val="single" w:sz="4" w:space="0" w:color="D9D9D9"/>
              <w:right w:val="none"/>
            </w:tcBorders>
          </w:tcPr>
          <w:p>
            <w:r>
              <w:rPr>
                <w:color w:val="262626"/>
                <w:sz w:val="19"/>
              </w:rPr>
              <w:t>October 27, 2026</w:t>
            </w:r>
          </w:p>
        </w:tc>
      </w:tr>
      <w:tr>
        <w:tc>
          <w:tcPr>
            <w:tcW w:type="dxa" w:w="3168"/>
            <w:shd w:fill="F2F4F8"/>
            <w:tcMar>
              <w:top w:w="80" w:type="dxa"/>
              <w:bottom w:w="80" w:type="dxa"/>
              <w:left w:w="100" w:type="dxa"/>
              <w:right w:w="100" w:type="dxa"/>
            </w:tcMar>
            <w:tcBorders>
              <w:top w:val="none"/>
              <w:left w:val="none"/>
              <w:bottom w:val="single" w:sz="4" w:space="0" w:color="D9D9D9"/>
              <w:right w:val="none"/>
            </w:tcBorders>
          </w:tcPr>
          <w:p>
            <w:r>
              <w:rPr>
                <w:b/>
                <w:color w:val="1F497D"/>
                <w:sz w:val="19"/>
              </w:rPr>
              <w:t>Reverse Engineering Tool</w:t>
            </w:r>
          </w:p>
        </w:tc>
        <w:tc>
          <w:tcPr>
            <w:tcW w:type="dxa" w:w="6192"/>
            <w:shd w:fill="F2F4F8"/>
            <w:tcMar>
              <w:top w:w="80" w:type="dxa"/>
              <w:bottom w:w="80" w:type="dxa"/>
              <w:left w:w="100" w:type="dxa"/>
              <w:right w:w="100" w:type="dxa"/>
            </w:tcMar>
            <w:tcBorders>
              <w:top w:val="none"/>
              <w:left w:val="none"/>
              <w:bottom w:val="single" w:sz="4" w:space="0" w:color="D9D9D9"/>
              <w:right w:val="none"/>
            </w:tcBorders>
          </w:tcPr>
          <w:p>
            <w:r>
              <w:rPr>
                <w:color w:val="262626"/>
                <w:sz w:val="19"/>
              </w:rPr>
              <w:t>REA 6.7.0 (Reverse Engineering Anything) + MCP</w:t>
            </w:r>
          </w:p>
        </w:tc>
      </w:tr>
      <w:tr>
        <w:tc>
          <w:tcPr>
            <w:tcW w:type="dxa" w:w="3168"/>
            <w:shd w:fill="FFFFFF"/>
            <w:tcMar>
              <w:top w:w="80" w:type="dxa"/>
              <w:bottom w:w="80" w:type="dxa"/>
              <w:left w:w="100" w:type="dxa"/>
              <w:right w:w="100" w:type="dxa"/>
            </w:tcMar>
            <w:tcBorders>
              <w:top w:val="none"/>
              <w:left w:val="none"/>
              <w:bottom w:val="single" w:sz="4" w:space="0" w:color="D9D9D9"/>
              <w:right w:val="none"/>
            </w:tcBorders>
          </w:tcPr>
          <w:p>
            <w:r>
              <w:rPr>
                <w:b/>
                <w:color w:val="1F497D"/>
                <w:sz w:val="19"/>
              </w:rPr>
              <w:t>Classification</w:t>
            </w:r>
          </w:p>
        </w:tc>
        <w:tc>
          <w:tcPr>
            <w:tcW w:type="dxa" w:w="6192"/>
            <w:shd w:fill="FFFFFF"/>
            <w:tcMar>
              <w:top w:w="80" w:type="dxa"/>
              <w:bottom w:w="80" w:type="dxa"/>
              <w:left w:w="100" w:type="dxa"/>
              <w:right w:w="100" w:type="dxa"/>
            </w:tcMar>
            <w:tcBorders>
              <w:top w:val="none"/>
              <w:left w:val="none"/>
              <w:bottom w:val="single" w:sz="4" w:space="0" w:color="D9D9D9"/>
              <w:right w:val="none"/>
            </w:tcBorders>
          </w:tcPr>
          <w:p>
            <w:r>
              <w:rPr>
                <w:color w:val="262626"/>
                <w:sz w:val="19"/>
              </w:rPr>
              <w:t>Confidential — Internal Engineering &amp; Architecture Manual</w:t>
            </w:r>
          </w:p>
        </w:tc>
      </w:tr>
    </w:tbl>
    <w:p>
      <w:r>
        <w:br w:type="page"/>
      </w:r>
    </w:p>
    <w:p>
      <w:pPr>
        <w:keepNext/>
        <w:spacing w:before="360" w:after="120"/>
      </w:pPr>
      <w:r>
        <w:rPr>
          <w:rFonts w:ascii="Calibri" w:hAnsi="Calibri"/>
          <w:b/>
          <w:color w:val="1F497D"/>
          <w:sz w:val="32"/>
        </w:rPr>
        <w:t>1.0 Executive Overview &amp; System Boundaries</w:t>
      </w:r>
    </w:p>
    <w:p>
      <w:r>
        <w:rPr>
          <w:rFonts w:ascii="Calibri" w:hAnsi="Calibri"/>
          <w:color w:val="262626"/>
          <w:sz w:val="21"/>
        </w:rPr>
        <w:t>MarketIntel DB is an enterprise-grade dual-tier customer relationship management (CRM) and market intelligence platform. The application orchestrates complex business workflows across prospect research, lead qualification, multi-channel outreach (email and WhatsApp), corporate hierarchical structures, event tracking, and social media campaign management.</w:t>
      </w:r>
    </w:p>
    <w:p>
      <w:r>
        <w:rPr>
          <w:rFonts w:ascii="Calibri" w:hAnsi="Calibri"/>
          <w:color w:val="262626"/>
          <w:sz w:val="21"/>
        </w:rPr>
        <w:t>The architecture strictly separates concerns between a reactive Single-Page Application (SPA) frontend built on React 19 and Vite, and a resilient Django 6.1.1 + Django REST Framework backend application server. The system communicates via cookie-based JSON Web Tokens (JWT) with strict cross-origin resource sharing (CORS) and Cross-Site Request Forgery (CSRF) protections.</w:t>
      </w:r>
    </w:p>
    <w:tbl>
      <w:tblPr>
        <w:tblW w:type="auto" w:w="0"/>
        <w:jc w:val="center"/>
        <w:tblLook w:firstColumn="1" w:firstRow="1" w:lastColumn="0" w:lastRow="0" w:noHBand="0" w:noVBand="1" w:val="04A0"/>
      </w:tblPr>
      <w:tblGrid>
        <w:gridCol w:w="9360"/>
      </w:tblGrid>
      <w:tr>
        <w:tc>
          <w:tcPr>
            <w:tcW w:type="dxa" w:w="9360"/>
            <w:shd w:fill="F2F7FB"/>
            <w:tcMar>
              <w:top w:w="120" w:type="dxa"/>
              <w:bottom w:w="120" w:type="dxa"/>
              <w:left w:w="180" w:type="dxa"/>
              <w:right w:w="140" w:type="dxa"/>
            </w:tcMar>
            <w:tcBorders>
              <w:top w:val="none"/>
              <w:left w:val="single" w:sz="24" w:space="0" w:color="2E75B6"/>
              <w:bottom w:val="none"/>
              <w:right w:val="none"/>
            </w:tcBorders>
          </w:tcPr>
          <w:p>
            <w:pPr>
              <w:spacing w:after="80"/>
            </w:pPr>
            <w:r>
              <w:rPr>
                <w:rFonts w:ascii="Calibri" w:hAnsi="Calibri"/>
                <w:b/>
                <w:color w:val="2E75B6"/>
                <w:sz w:val="20"/>
              </w:rPr>
              <w:t>[IMPORTANT]  Reverse Engineering Methodology (REA 6.7.0)</w:t>
              <w:br/>
            </w:r>
            <w:r>
              <w:rPr>
                <w:rFonts w:ascii="Calibri" w:hAnsi="Calibri"/>
                <w:color w:val="323232"/>
                <w:sz w:val="19"/>
              </w:rPr>
              <w:t>This master technical specification was reconstructed using REA (Reverse Engineering Anything) MCP tooling, analyzing 85 frontend assets (1.53 MB JavaScript bundle), 530 backend Python AST symbols, 43 database models across 55 migration files, 90 RESTful API endpoints, and 230 automated test cases. The complete evidence bundle (230 MB) is retained under docs/technical-documentation-v1/rea-analysis/rea_evidence_bundle.json.</w:t>
            </w:r>
          </w:p>
        </w:tc>
      </w:tr>
    </w:tbl>
    <w:p>
      <w:pPr>
        <w:spacing w:after="120"/>
      </w:pPr>
    </w:p>
    <w:p>
      <w:pPr>
        <w:keepNext/>
        <w:spacing w:before="280" w:after="80"/>
      </w:pPr>
      <w:r>
        <w:rPr>
          <w:rFonts w:ascii="Calibri" w:hAnsi="Calibri"/>
          <w:b/>
          <w:color w:val="2E75B6"/>
          <w:sz w:val="26"/>
        </w:rPr>
        <w:t>1.1 High-Level Component Topology</w:t>
      </w:r>
    </w:p>
    <w:p>
      <w:r>
        <w:rPr>
          <w:rFonts w:ascii="Calibri" w:hAnsi="Calibri"/>
          <w:color w:val="262626"/>
          <w:sz w:val="21"/>
        </w:rPr>
        <w:t>The platform is organized into four distinct horizontal execution tiers: Client Presentation Tier, Gateway/Proxy Tier, Application Service Tier, and Data Persistence/External Integration Tier.</w:t>
      </w:r>
    </w:p>
    <w:p>
      <w:pPr>
        <w:jc w:val="center"/>
      </w:pPr>
      <w:r>
        <w:drawing>
          <wp:inline xmlns:a="http://schemas.openxmlformats.org/drawingml/2006/main" xmlns:pic="http://schemas.openxmlformats.org/drawingml/2006/picture">
            <wp:extent cx="5669280" cy="3514954"/>
            <wp:docPr id="1" name="Picture 1"/>
            <wp:cNvGraphicFramePr>
              <a:graphicFrameLocks noChangeAspect="1"/>
            </wp:cNvGraphicFramePr>
            <a:graphic>
              <a:graphicData uri="http://schemas.openxmlformats.org/drawingml/2006/picture">
                <pic:pic>
                  <pic:nvPicPr>
                    <pic:cNvPr id="0" name="system_architecture_overview.png"/>
                    <pic:cNvPicPr/>
                  </pic:nvPicPr>
                  <pic:blipFill>
                    <a:blip r:embed="rId11"/>
                    <a:stretch>
                      <a:fillRect/>
                    </a:stretch>
                  </pic:blipFill>
                  <pic:spPr>
                    <a:xfrm>
                      <a:off x="0" y="0"/>
                      <a:ext cx="5669280" cy="3514954"/>
                    </a:xfrm>
                    <a:prstGeom prst="rect"/>
                  </pic:spPr>
                </pic:pic>
              </a:graphicData>
            </a:graphic>
          </wp:inline>
        </w:drawing>
      </w:r>
    </w:p>
    <w:p>
      <w:pPr>
        <w:spacing w:before="80" w:after="240"/>
        <w:jc w:val="center"/>
      </w:pPr>
      <w:r>
        <w:rPr>
          <w:rFonts w:ascii="Calibri" w:hAnsi="Calibri"/>
          <w:i/>
          <w:color w:val="505050"/>
          <w:sz w:val="18"/>
        </w:rPr>
        <w:t>Figure: MarketIntel DB End-to-End Architecture Topology</w:t>
      </w:r>
    </w:p>
    <w:tbl>
      <w:tblPr>
        <w:tblW w:type="auto" w:w="0"/>
        <w:jc w:val="center"/>
        <w:tblLook w:firstColumn="1" w:firstRow="1" w:lastColumn="0" w:lastRow="0" w:noHBand="0" w:noVBand="1" w:val="04A0"/>
      </w:tblPr>
      <w:tblGrid>
        <w:gridCol w:w="2340"/>
        <w:gridCol w:w="2340"/>
        <w:gridCol w:w="2340"/>
        <w:gridCol w:w="2340"/>
      </w:tblGrid>
      <w:tr>
        <w:tc>
          <w:tcPr>
            <w:tcW w:type="dxa" w:w="2340"/>
            <w:shd w:fill="1F497D"/>
            <w:tcMar>
              <w:top w:w="100" w:type="dxa"/>
              <w:bottom w:w="100" w:type="dxa"/>
              <w:left w:w="100" w:type="dxa"/>
              <w:right w:w="100" w:type="dxa"/>
            </w:tcMar>
          </w:tcPr>
          <w:p>
            <w:pPr>
              <w:spacing w:after="0"/>
              <w:jc w:val="center"/>
            </w:pPr>
            <w:r>
              <w:rPr>
                <w:rFonts w:ascii="Calibri" w:hAnsi="Calibri"/>
                <w:b/>
                <w:color w:val="FFFFFF"/>
                <w:sz w:val="19"/>
              </w:rPr>
              <w:t>System Tier</w:t>
            </w:r>
          </w:p>
        </w:tc>
        <w:tc>
          <w:tcPr>
            <w:tcW w:type="dxa" w:w="2340"/>
            <w:shd w:fill="1F497D"/>
            <w:tcMar>
              <w:top w:w="100" w:type="dxa"/>
              <w:bottom w:w="100" w:type="dxa"/>
              <w:left w:w="100" w:type="dxa"/>
              <w:right w:w="100" w:type="dxa"/>
            </w:tcMar>
          </w:tcPr>
          <w:p>
            <w:pPr>
              <w:spacing w:after="0"/>
              <w:jc w:val="center"/>
            </w:pPr>
            <w:r>
              <w:rPr>
                <w:rFonts w:ascii="Calibri" w:hAnsi="Calibri"/>
                <w:b/>
                <w:color w:val="FFFFFF"/>
                <w:sz w:val="19"/>
              </w:rPr>
              <w:t>Primary Technologies</w:t>
            </w:r>
          </w:p>
        </w:tc>
        <w:tc>
          <w:tcPr>
            <w:tcW w:type="dxa" w:w="2340"/>
            <w:shd w:fill="1F497D"/>
            <w:tcMar>
              <w:top w:w="100" w:type="dxa"/>
              <w:bottom w:w="100" w:type="dxa"/>
              <w:left w:w="100" w:type="dxa"/>
              <w:right w:w="100" w:type="dxa"/>
            </w:tcMar>
          </w:tcPr>
          <w:p>
            <w:pPr>
              <w:spacing w:after="0"/>
              <w:jc w:val="center"/>
            </w:pPr>
            <w:r>
              <w:rPr>
                <w:rFonts w:ascii="Calibri" w:hAnsi="Calibri"/>
                <w:b/>
                <w:color w:val="FFFFFF"/>
                <w:sz w:val="19"/>
              </w:rPr>
              <w:t>Network Port / Domain</w:t>
            </w:r>
          </w:p>
        </w:tc>
        <w:tc>
          <w:tcPr>
            <w:tcW w:type="dxa" w:w="2340"/>
            <w:shd w:fill="1F497D"/>
            <w:tcMar>
              <w:top w:w="100" w:type="dxa"/>
              <w:bottom w:w="100" w:type="dxa"/>
              <w:left w:w="100" w:type="dxa"/>
              <w:right w:w="100" w:type="dxa"/>
            </w:tcMar>
          </w:tcPr>
          <w:p>
            <w:pPr>
              <w:spacing w:after="0"/>
              <w:jc w:val="center"/>
            </w:pPr>
            <w:r>
              <w:rPr>
                <w:rFonts w:ascii="Calibri" w:hAnsi="Calibri"/>
                <w:b/>
                <w:color w:val="FFFFFF"/>
                <w:sz w:val="19"/>
              </w:rPr>
              <w:t>Responsibilities &amp; Isolation Rules</w:t>
            </w:r>
          </w:p>
        </w:tc>
      </w:tr>
      <w:tr>
        <w:tc>
          <w:tcPr>
            <w:tcW w:type="dxa" w:w="2340"/>
            <w:shd w:fill="FFFFFF"/>
            <w:tcMar>
              <w:top w:w="70" w:type="dxa"/>
              <w:bottom w:w="70" w:type="dxa"/>
              <w:left w:w="90" w:type="dxa"/>
              <w:right w:w="9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color w:val="262626"/>
                <w:sz w:val="18"/>
              </w:rPr>
              <w:t>Client Presentation</w:t>
            </w:r>
          </w:p>
        </w:tc>
        <w:tc>
          <w:tcPr>
            <w:tcW w:type="dxa" w:w="2340"/>
            <w:shd w:fill="FFFFFF"/>
            <w:tcMar>
              <w:top w:w="70" w:type="dxa"/>
              <w:bottom w:w="70" w:type="dxa"/>
              <w:left w:w="90" w:type="dxa"/>
              <w:right w:w="9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color w:val="262626"/>
                <w:sz w:val="18"/>
              </w:rPr>
              <w:t>React 19.2.8, Vite 8.3, TailwindCSS 4, Redux Toolkit</w:t>
            </w:r>
          </w:p>
        </w:tc>
        <w:tc>
          <w:tcPr>
            <w:tcW w:type="dxa" w:w="2340"/>
            <w:shd w:fill="FFFFFF"/>
            <w:tcMar>
              <w:top w:w="70" w:type="dxa"/>
              <w:bottom w:w="70" w:type="dxa"/>
              <w:left w:w="90" w:type="dxa"/>
              <w:right w:w="9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color w:val="262626"/>
                <w:sz w:val="18"/>
              </w:rPr>
              <w:t>Port 5173 / AWS Amplify CDN</w:t>
            </w:r>
          </w:p>
        </w:tc>
        <w:tc>
          <w:tcPr>
            <w:tcW w:type="dxa" w:w="2340"/>
            <w:shd w:fill="FFFFFF"/>
            <w:tcMar>
              <w:top w:w="70" w:type="dxa"/>
              <w:bottom w:w="70" w:type="dxa"/>
              <w:left w:w="90" w:type="dxa"/>
              <w:right w:w="9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color w:val="262626"/>
                <w:sz w:val="18"/>
              </w:rPr>
              <w:t>Role-based routing, interactive CRM tables, email composition, live WhatsApp UI</w:t>
            </w:r>
          </w:p>
        </w:tc>
      </w:tr>
      <w:tr>
        <w:tc>
          <w:tcPr>
            <w:tcW w:type="dxa" w:w="2340"/>
            <w:shd w:fill="F8FAFC"/>
            <w:tcMar>
              <w:top w:w="70" w:type="dxa"/>
              <w:bottom w:w="70" w:type="dxa"/>
              <w:left w:w="90" w:type="dxa"/>
              <w:right w:w="9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color w:val="262626"/>
                <w:sz w:val="18"/>
              </w:rPr>
              <w:t>Gateway &amp; Reverse Proxy</w:t>
            </w:r>
          </w:p>
        </w:tc>
        <w:tc>
          <w:tcPr>
            <w:tcW w:type="dxa" w:w="2340"/>
            <w:shd w:fill="F8FAFC"/>
            <w:tcMar>
              <w:top w:w="70" w:type="dxa"/>
              <w:bottom w:w="70" w:type="dxa"/>
              <w:left w:w="90" w:type="dxa"/>
              <w:right w:w="9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color w:val="262626"/>
                <w:sz w:val="18"/>
              </w:rPr>
              <w:t>Nginx 1.24+ Reverse Proxy, SSL/TLS Termination</w:t>
            </w:r>
          </w:p>
        </w:tc>
        <w:tc>
          <w:tcPr>
            <w:tcW w:type="dxa" w:w="2340"/>
            <w:shd w:fill="F8FAFC"/>
            <w:tcMar>
              <w:top w:w="70" w:type="dxa"/>
              <w:bottom w:w="70" w:type="dxa"/>
              <w:left w:w="90" w:type="dxa"/>
              <w:right w:w="9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color w:val="262626"/>
                <w:sz w:val="18"/>
              </w:rPr>
              <w:t>Port 80 / 443 (Domain Host)</w:t>
            </w:r>
          </w:p>
        </w:tc>
        <w:tc>
          <w:tcPr>
            <w:tcW w:type="dxa" w:w="2340"/>
            <w:shd w:fill="F8FAFC"/>
            <w:tcMar>
              <w:top w:w="70" w:type="dxa"/>
              <w:bottom w:w="70" w:type="dxa"/>
              <w:left w:w="90" w:type="dxa"/>
              <w:right w:w="9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color w:val="262626"/>
                <w:sz w:val="18"/>
              </w:rPr>
              <w:t>Request routing (/api/ to Django, static assets, media uploads, proxy timeouts)</w:t>
            </w:r>
          </w:p>
        </w:tc>
      </w:tr>
      <w:tr>
        <w:tc>
          <w:tcPr>
            <w:tcW w:type="dxa" w:w="2340"/>
            <w:shd w:fill="FFFFFF"/>
            <w:tcMar>
              <w:top w:w="70" w:type="dxa"/>
              <w:bottom w:w="70" w:type="dxa"/>
              <w:left w:w="90" w:type="dxa"/>
              <w:right w:w="9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color w:val="262626"/>
                <w:sz w:val="18"/>
              </w:rPr>
              <w:t>Application Server</w:t>
            </w:r>
          </w:p>
        </w:tc>
        <w:tc>
          <w:tcPr>
            <w:tcW w:type="dxa" w:w="2340"/>
            <w:shd w:fill="FFFFFF"/>
            <w:tcMar>
              <w:top w:w="70" w:type="dxa"/>
              <w:bottom w:w="70" w:type="dxa"/>
              <w:left w:w="90" w:type="dxa"/>
              <w:right w:w="9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color w:val="262626"/>
                <w:sz w:val="18"/>
              </w:rPr>
              <w:t>Django 6.1.1, DRF 3.18.1, Gunicorn WSGI</w:t>
            </w:r>
          </w:p>
        </w:tc>
        <w:tc>
          <w:tcPr>
            <w:tcW w:type="dxa" w:w="2340"/>
            <w:shd w:fill="FFFFFF"/>
            <w:tcMar>
              <w:top w:w="70" w:type="dxa"/>
              <w:bottom w:w="70" w:type="dxa"/>
              <w:left w:w="90" w:type="dxa"/>
              <w:right w:w="9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color w:val="262626"/>
                <w:sz w:val="18"/>
              </w:rPr>
              <w:t>Port 8000 (Internal Loopback)</w:t>
            </w:r>
          </w:p>
        </w:tc>
        <w:tc>
          <w:tcPr>
            <w:tcW w:type="dxa" w:w="2340"/>
            <w:shd w:fill="FFFFFF"/>
            <w:tcMar>
              <w:top w:w="70" w:type="dxa"/>
              <w:bottom w:w="70" w:type="dxa"/>
              <w:left w:w="90" w:type="dxa"/>
              <w:right w:w="9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color w:val="262626"/>
                <w:sz w:val="18"/>
              </w:rPr>
              <w:t>Business logic, JWT verification, role permission enforcement, ORM query processing</w:t>
            </w:r>
          </w:p>
        </w:tc>
      </w:tr>
      <w:tr>
        <w:tc>
          <w:tcPr>
            <w:tcW w:type="dxa" w:w="2340"/>
            <w:shd w:fill="F8FAFC"/>
            <w:tcMar>
              <w:top w:w="70" w:type="dxa"/>
              <w:bottom w:w="70" w:type="dxa"/>
              <w:left w:w="90" w:type="dxa"/>
              <w:right w:w="9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color w:val="262626"/>
                <w:sz w:val="18"/>
              </w:rPr>
              <w:t>Relational Database</w:t>
            </w:r>
          </w:p>
        </w:tc>
        <w:tc>
          <w:tcPr>
            <w:tcW w:type="dxa" w:w="2340"/>
            <w:shd w:fill="F8FAFC"/>
            <w:tcMar>
              <w:top w:w="70" w:type="dxa"/>
              <w:bottom w:w="70" w:type="dxa"/>
              <w:left w:w="90" w:type="dxa"/>
              <w:right w:w="9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color w:val="262626"/>
                <w:sz w:val="18"/>
              </w:rPr>
              <w:t>PostgreSQL 15+ (RDS / Supabase Pooler)</w:t>
            </w:r>
          </w:p>
        </w:tc>
        <w:tc>
          <w:tcPr>
            <w:tcW w:type="dxa" w:w="2340"/>
            <w:shd w:fill="F8FAFC"/>
            <w:tcMar>
              <w:top w:w="70" w:type="dxa"/>
              <w:bottom w:w="70" w:type="dxa"/>
              <w:left w:w="90" w:type="dxa"/>
              <w:right w:w="9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color w:val="262626"/>
                <w:sz w:val="18"/>
              </w:rPr>
              <w:t>Port 5432 / 6543</w:t>
            </w:r>
          </w:p>
        </w:tc>
        <w:tc>
          <w:tcPr>
            <w:tcW w:type="dxa" w:w="2340"/>
            <w:shd w:fill="F8FAFC"/>
            <w:tcMar>
              <w:top w:w="70" w:type="dxa"/>
              <w:bottom w:w="70" w:type="dxa"/>
              <w:left w:w="90" w:type="dxa"/>
              <w:right w:w="9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color w:val="262626"/>
                <w:sz w:val="18"/>
              </w:rPr>
              <w:t>Persistent relational CRM entities, hierarchical structures, audit trails, indexed phone digits</w:t>
            </w:r>
          </w:p>
        </w:tc>
      </w:tr>
      <w:tr>
        <w:tc>
          <w:tcPr>
            <w:tcW w:type="dxa" w:w="2340"/>
            <w:shd w:fill="FFFFFF"/>
            <w:tcMar>
              <w:top w:w="70" w:type="dxa"/>
              <w:bottom w:w="70" w:type="dxa"/>
              <w:left w:w="90" w:type="dxa"/>
              <w:right w:w="9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color w:val="262626"/>
                <w:sz w:val="18"/>
              </w:rPr>
              <w:t>WhatsApp Engine</w:t>
            </w:r>
          </w:p>
        </w:tc>
        <w:tc>
          <w:tcPr>
            <w:tcW w:type="dxa" w:w="2340"/>
            <w:shd w:fill="FFFFFF"/>
            <w:tcMar>
              <w:top w:w="70" w:type="dxa"/>
              <w:bottom w:w="70" w:type="dxa"/>
              <w:left w:w="90" w:type="dxa"/>
              <w:right w:w="9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color w:val="262626"/>
                <w:sz w:val="18"/>
              </w:rPr>
              <w:t>WAHA (WhatsApp HTTP API Container)</w:t>
            </w:r>
          </w:p>
        </w:tc>
        <w:tc>
          <w:tcPr>
            <w:tcW w:type="dxa" w:w="2340"/>
            <w:shd w:fill="FFFFFF"/>
            <w:tcMar>
              <w:top w:w="70" w:type="dxa"/>
              <w:bottom w:w="70" w:type="dxa"/>
              <w:left w:w="90" w:type="dxa"/>
              <w:right w:w="9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color w:val="262626"/>
                <w:sz w:val="18"/>
              </w:rPr>
              <w:t>Port 3000 (Docker Container)</w:t>
            </w:r>
          </w:p>
        </w:tc>
        <w:tc>
          <w:tcPr>
            <w:tcW w:type="dxa" w:w="2340"/>
            <w:shd w:fill="FFFFFF"/>
            <w:tcMar>
              <w:top w:w="70" w:type="dxa"/>
              <w:bottom w:w="70" w:type="dxa"/>
              <w:left w:w="90" w:type="dxa"/>
              <w:right w:w="9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color w:val="262626"/>
                <w:sz w:val="18"/>
              </w:rPr>
              <w:t>Multi-tenant WhatsApp Web pairing, QR streaming, HMAC webhook dispatch, media download</w:t>
            </w:r>
          </w:p>
        </w:tc>
      </w:tr>
      <w:tr>
        <w:tc>
          <w:tcPr>
            <w:tcW w:type="dxa" w:w="2340"/>
            <w:shd w:fill="F8FAFC"/>
            <w:tcMar>
              <w:top w:w="70" w:type="dxa"/>
              <w:bottom w:w="70" w:type="dxa"/>
              <w:left w:w="90" w:type="dxa"/>
              <w:right w:w="9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color w:val="262626"/>
                <w:sz w:val="18"/>
              </w:rPr>
              <w:t>External Integrations</w:t>
            </w:r>
          </w:p>
        </w:tc>
        <w:tc>
          <w:tcPr>
            <w:tcW w:type="dxa" w:w="2340"/>
            <w:shd w:fill="F8FAFC"/>
            <w:tcMar>
              <w:top w:w="70" w:type="dxa"/>
              <w:bottom w:w="70" w:type="dxa"/>
              <w:left w:w="90" w:type="dxa"/>
              <w:right w:w="9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color w:val="262626"/>
                <w:sz w:val="18"/>
              </w:rPr>
              <w:t>Google OAuth, Gmail API, Google Meet, Meta, Twitter</w:t>
            </w:r>
          </w:p>
        </w:tc>
        <w:tc>
          <w:tcPr>
            <w:tcW w:type="dxa" w:w="2340"/>
            <w:shd w:fill="F8FAFC"/>
            <w:tcMar>
              <w:top w:w="70" w:type="dxa"/>
              <w:bottom w:w="70" w:type="dxa"/>
              <w:left w:w="90" w:type="dxa"/>
              <w:right w:w="9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color w:val="262626"/>
                <w:sz w:val="18"/>
              </w:rPr>
              <w:t>Outbound HTTPS (REST/OAuth)</w:t>
            </w:r>
          </w:p>
        </w:tc>
        <w:tc>
          <w:tcPr>
            <w:tcW w:type="dxa" w:w="2340"/>
            <w:shd w:fill="F8FAFC"/>
            <w:tcMar>
              <w:top w:w="70" w:type="dxa"/>
              <w:bottom w:w="70" w:type="dxa"/>
              <w:left w:w="90" w:type="dxa"/>
              <w:right w:w="9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color w:val="262626"/>
                <w:sz w:val="18"/>
              </w:rPr>
              <w:t>Token-based user authentication, tracked email dispatch, video conference link creation</w:t>
            </w:r>
          </w:p>
        </w:tc>
      </w:tr>
    </w:tbl>
    <w:p>
      <w:pPr>
        <w:spacing w:after="120"/>
      </w:pPr>
    </w:p>
    <w:p>
      <w:pPr>
        <w:keepNext/>
        <w:spacing w:before="360" w:after="120"/>
      </w:pPr>
      <w:r>
        <w:rPr>
          <w:rFonts w:ascii="Calibri" w:hAnsi="Calibri"/>
          <w:b/>
          <w:color w:val="1F497D"/>
          <w:sz w:val="32"/>
        </w:rPr>
        <w:t>2.0 Core Subsystems &amp; Application Domains</w:t>
      </w:r>
    </w:p>
    <w:p>
      <w:r>
        <w:rPr>
          <w:rFonts w:ascii="Calibri" w:hAnsi="Calibri"/>
          <w:color w:val="262626"/>
          <w:sz w:val="21"/>
        </w:rPr>
        <w:t>The backend repository organizes business logic into six cohesive Django applications: accounts, prospects, companies, market_events, whatsapp, and digital_marketing. Each app maintains isolated database models, view controllers, serializers, service layers, and permission boundaries.</w:t>
      </w:r>
    </w:p>
    <w:p>
      <w:pPr>
        <w:keepNext/>
        <w:spacing w:before="280" w:after="80"/>
      </w:pPr>
      <w:r>
        <w:rPr>
          <w:rFonts w:ascii="Calibri" w:hAnsi="Calibri"/>
          <w:b/>
          <w:color w:val="2E75B6"/>
          <w:sz w:val="26"/>
        </w:rPr>
        <w:t>2.1 Subsystem Responsibility Matrix</w:t>
      </w:r>
    </w:p>
    <w:tbl>
      <w:tblPr>
        <w:tblW w:type="auto" w:w="0"/>
        <w:jc w:val="center"/>
        <w:tblLook w:firstColumn="1" w:firstRow="1" w:lastColumn="0" w:lastRow="0" w:noHBand="0" w:noVBand="1" w:val="04A0"/>
      </w:tblPr>
      <w:tblGrid>
        <w:gridCol w:w="2340"/>
        <w:gridCol w:w="2340"/>
        <w:gridCol w:w="2340"/>
        <w:gridCol w:w="2340"/>
      </w:tblGrid>
      <w:tr>
        <w:tc>
          <w:tcPr>
            <w:tcW w:type="dxa" w:w="2340"/>
            <w:shd w:fill="1F497D"/>
            <w:tcMar>
              <w:top w:w="100" w:type="dxa"/>
              <w:bottom w:w="100" w:type="dxa"/>
              <w:left w:w="100" w:type="dxa"/>
              <w:right w:w="100" w:type="dxa"/>
            </w:tcMar>
          </w:tcPr>
          <w:p>
            <w:pPr>
              <w:spacing w:after="0"/>
              <w:jc w:val="center"/>
            </w:pPr>
            <w:r>
              <w:rPr>
                <w:rFonts w:ascii="Calibri" w:hAnsi="Calibri"/>
                <w:b/>
                <w:color w:val="FFFFFF"/>
                <w:sz w:val="19"/>
              </w:rPr>
              <w:t>Subsystem</w:t>
            </w:r>
          </w:p>
        </w:tc>
        <w:tc>
          <w:tcPr>
            <w:tcW w:type="dxa" w:w="2340"/>
            <w:shd w:fill="1F497D"/>
            <w:tcMar>
              <w:top w:w="100" w:type="dxa"/>
              <w:bottom w:w="100" w:type="dxa"/>
              <w:left w:w="100" w:type="dxa"/>
              <w:right w:w="100" w:type="dxa"/>
            </w:tcMar>
          </w:tcPr>
          <w:p>
            <w:pPr>
              <w:spacing w:after="0"/>
              <w:jc w:val="center"/>
            </w:pPr>
            <w:r>
              <w:rPr>
                <w:rFonts w:ascii="Calibri" w:hAnsi="Calibri"/>
                <w:b/>
                <w:color w:val="FFFFFF"/>
                <w:sz w:val="19"/>
              </w:rPr>
              <w:t>Source Location</w:t>
            </w:r>
          </w:p>
        </w:tc>
        <w:tc>
          <w:tcPr>
            <w:tcW w:type="dxa" w:w="2340"/>
            <w:shd w:fill="1F497D"/>
            <w:tcMar>
              <w:top w:w="100" w:type="dxa"/>
              <w:bottom w:w="100" w:type="dxa"/>
              <w:left w:w="100" w:type="dxa"/>
              <w:right w:w="100" w:type="dxa"/>
            </w:tcMar>
          </w:tcPr>
          <w:p>
            <w:pPr>
              <w:spacing w:after="0"/>
              <w:jc w:val="center"/>
            </w:pPr>
            <w:r>
              <w:rPr>
                <w:rFonts w:ascii="Calibri" w:hAnsi="Calibri"/>
                <w:b/>
                <w:color w:val="FFFFFF"/>
                <w:sz w:val="19"/>
              </w:rPr>
              <w:t>Key Models</w:t>
            </w:r>
          </w:p>
        </w:tc>
        <w:tc>
          <w:tcPr>
            <w:tcW w:type="dxa" w:w="2340"/>
            <w:shd w:fill="1F497D"/>
            <w:tcMar>
              <w:top w:w="100" w:type="dxa"/>
              <w:bottom w:w="100" w:type="dxa"/>
              <w:left w:w="100" w:type="dxa"/>
              <w:right w:w="100" w:type="dxa"/>
            </w:tcMar>
          </w:tcPr>
          <w:p>
            <w:pPr>
              <w:spacing w:after="0"/>
              <w:jc w:val="center"/>
            </w:pPr>
            <w:r>
              <w:rPr>
                <w:rFonts w:ascii="Calibri" w:hAnsi="Calibri"/>
                <w:b/>
                <w:color w:val="FFFFFF"/>
                <w:sz w:val="19"/>
              </w:rPr>
              <w:t>Primary Responsibilities</w:t>
            </w:r>
          </w:p>
        </w:tc>
      </w:tr>
      <w:tr>
        <w:tc>
          <w:tcPr>
            <w:tcW w:type="dxa" w:w="2340"/>
            <w:shd w:fill="FFFFFF"/>
            <w:tcMar>
              <w:top w:w="70" w:type="dxa"/>
              <w:bottom w:w="70" w:type="dxa"/>
              <w:left w:w="90" w:type="dxa"/>
              <w:right w:w="9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color w:val="262626"/>
                <w:sz w:val="18"/>
              </w:rPr>
              <w:t>accounts</w:t>
            </w:r>
          </w:p>
        </w:tc>
        <w:tc>
          <w:tcPr>
            <w:tcW w:type="dxa" w:w="2340"/>
            <w:shd w:fill="FFFFFF"/>
            <w:tcMar>
              <w:top w:w="70" w:type="dxa"/>
              <w:bottom w:w="70" w:type="dxa"/>
              <w:left w:w="90" w:type="dxa"/>
              <w:right w:w="9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color w:val="262626"/>
                <w:sz w:val="18"/>
              </w:rPr>
              <w:t>backend/accounts/</w:t>
            </w:r>
          </w:p>
        </w:tc>
        <w:tc>
          <w:tcPr>
            <w:tcW w:type="dxa" w:w="2340"/>
            <w:shd w:fill="FFFFFF"/>
            <w:tcMar>
              <w:top w:w="70" w:type="dxa"/>
              <w:bottom w:w="70" w:type="dxa"/>
              <w:left w:w="90" w:type="dxa"/>
              <w:right w:w="9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color w:val="262626"/>
                <w:sz w:val="18"/>
              </w:rPr>
              <w:t>UserProfile, MailAccount, EmailTemplate, EmailSignature, GoogleMailCredentials</w:t>
            </w:r>
          </w:p>
        </w:tc>
        <w:tc>
          <w:tcPr>
            <w:tcW w:type="dxa" w:w="2340"/>
            <w:shd w:fill="FFFFFF"/>
            <w:tcMar>
              <w:top w:w="70" w:type="dxa"/>
              <w:bottom w:w="70" w:type="dxa"/>
              <w:left w:w="90" w:type="dxa"/>
              <w:right w:w="9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color w:val="262626"/>
                <w:sz w:val="18"/>
              </w:rPr>
              <w:t>Authentication, user administration, Gmail OAuth credentials, email template sanitization</w:t>
            </w:r>
          </w:p>
        </w:tc>
      </w:tr>
      <w:tr>
        <w:tc>
          <w:tcPr>
            <w:tcW w:type="dxa" w:w="2340"/>
            <w:shd w:fill="F8FAFC"/>
            <w:tcMar>
              <w:top w:w="70" w:type="dxa"/>
              <w:bottom w:w="70" w:type="dxa"/>
              <w:left w:w="90" w:type="dxa"/>
              <w:right w:w="9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color w:val="262626"/>
                <w:sz w:val="18"/>
              </w:rPr>
              <w:t>prospects</w:t>
            </w:r>
          </w:p>
        </w:tc>
        <w:tc>
          <w:tcPr>
            <w:tcW w:type="dxa" w:w="2340"/>
            <w:shd w:fill="F8FAFC"/>
            <w:tcMar>
              <w:top w:w="70" w:type="dxa"/>
              <w:bottom w:w="70" w:type="dxa"/>
              <w:left w:w="90" w:type="dxa"/>
              <w:right w:w="9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color w:val="262626"/>
                <w:sz w:val="18"/>
              </w:rPr>
              <w:t>backend/prospects/</w:t>
            </w:r>
          </w:p>
        </w:tc>
        <w:tc>
          <w:tcPr>
            <w:tcW w:type="dxa" w:w="2340"/>
            <w:shd w:fill="F8FAFC"/>
            <w:tcMar>
              <w:top w:w="70" w:type="dxa"/>
              <w:bottom w:w="70" w:type="dxa"/>
              <w:left w:w="90" w:type="dxa"/>
              <w:right w:w="9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color w:val="262626"/>
                <w:sz w:val="18"/>
              </w:rPr>
              <w:t>Prospect, ProspectContact, LeadQualification, OutreachEmail, EmailCampaign, Meeting</w:t>
            </w:r>
          </w:p>
        </w:tc>
        <w:tc>
          <w:tcPr>
            <w:tcW w:type="dxa" w:w="2340"/>
            <w:shd w:fill="F8FAFC"/>
            <w:tcMar>
              <w:top w:w="70" w:type="dxa"/>
              <w:bottom w:w="70" w:type="dxa"/>
              <w:left w:w="90" w:type="dxa"/>
              <w:right w:w="9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color w:val="262626"/>
                <w:sz w:val="18"/>
              </w:rPr>
              <w:t>Core CRM prospect hierarchy, LQ pipeline, 90s campaign pacing, Google Meet scheduling</w:t>
            </w:r>
          </w:p>
        </w:tc>
      </w:tr>
      <w:tr>
        <w:tc>
          <w:tcPr>
            <w:tcW w:type="dxa" w:w="2340"/>
            <w:shd w:fill="FFFFFF"/>
            <w:tcMar>
              <w:top w:w="70" w:type="dxa"/>
              <w:bottom w:w="70" w:type="dxa"/>
              <w:left w:w="90" w:type="dxa"/>
              <w:right w:w="9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color w:val="262626"/>
                <w:sz w:val="18"/>
              </w:rPr>
              <w:t>companies</w:t>
            </w:r>
          </w:p>
        </w:tc>
        <w:tc>
          <w:tcPr>
            <w:tcW w:type="dxa" w:w="2340"/>
            <w:shd w:fill="FFFFFF"/>
            <w:tcMar>
              <w:top w:w="70" w:type="dxa"/>
              <w:bottom w:w="70" w:type="dxa"/>
              <w:left w:w="90" w:type="dxa"/>
              <w:right w:w="9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color w:val="262626"/>
                <w:sz w:val="18"/>
              </w:rPr>
              <w:t>backend/companies/</w:t>
            </w:r>
          </w:p>
        </w:tc>
        <w:tc>
          <w:tcPr>
            <w:tcW w:type="dxa" w:w="2340"/>
            <w:shd w:fill="FFFFFF"/>
            <w:tcMar>
              <w:top w:w="70" w:type="dxa"/>
              <w:bottom w:w="70" w:type="dxa"/>
              <w:left w:w="90" w:type="dxa"/>
              <w:right w:w="9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color w:val="262626"/>
                <w:sz w:val="18"/>
              </w:rPr>
              <w:t>Company</w:t>
            </w:r>
          </w:p>
        </w:tc>
        <w:tc>
          <w:tcPr>
            <w:tcW w:type="dxa" w:w="2340"/>
            <w:shd w:fill="FFFFFF"/>
            <w:tcMar>
              <w:top w:w="70" w:type="dxa"/>
              <w:bottom w:w="70" w:type="dxa"/>
              <w:left w:w="90" w:type="dxa"/>
              <w:right w:w="9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color w:val="262626"/>
                <w:sz w:val="18"/>
              </w:rPr>
              <w:t>Corporate metadata, sector taxonomy, and industry classification reference entities</w:t>
            </w:r>
          </w:p>
        </w:tc>
      </w:tr>
      <w:tr>
        <w:tc>
          <w:tcPr>
            <w:tcW w:type="dxa" w:w="2340"/>
            <w:shd w:fill="F8FAFC"/>
            <w:tcMar>
              <w:top w:w="70" w:type="dxa"/>
              <w:bottom w:w="70" w:type="dxa"/>
              <w:left w:w="90" w:type="dxa"/>
              <w:right w:w="9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color w:val="262626"/>
                <w:sz w:val="18"/>
              </w:rPr>
              <w:t>market_events</w:t>
            </w:r>
          </w:p>
        </w:tc>
        <w:tc>
          <w:tcPr>
            <w:tcW w:type="dxa" w:w="2340"/>
            <w:shd w:fill="F8FAFC"/>
            <w:tcMar>
              <w:top w:w="70" w:type="dxa"/>
              <w:bottom w:w="70" w:type="dxa"/>
              <w:left w:w="90" w:type="dxa"/>
              <w:right w:w="9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color w:val="262626"/>
                <w:sz w:val="18"/>
              </w:rPr>
              <w:t>backend/market_events/</w:t>
            </w:r>
          </w:p>
        </w:tc>
        <w:tc>
          <w:tcPr>
            <w:tcW w:type="dxa" w:w="2340"/>
            <w:shd w:fill="F8FAFC"/>
            <w:tcMar>
              <w:top w:w="70" w:type="dxa"/>
              <w:bottom w:w="70" w:type="dxa"/>
              <w:left w:w="90" w:type="dxa"/>
              <w:right w:w="9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color w:val="262626"/>
                <w:sz w:val="18"/>
              </w:rPr>
              <w:t>MarketEvent, MarketEventParticipation</w:t>
            </w:r>
          </w:p>
        </w:tc>
        <w:tc>
          <w:tcPr>
            <w:tcW w:type="dxa" w:w="2340"/>
            <w:shd w:fill="F8FAFC"/>
            <w:tcMar>
              <w:top w:w="70" w:type="dxa"/>
              <w:bottom w:w="70" w:type="dxa"/>
              <w:left w:w="90" w:type="dxa"/>
              <w:right w:w="9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color w:val="262626"/>
                <w:sz w:val="18"/>
              </w:rPr>
              <w:t>Industry conference registry, participant linking, and event-based prospect intelligence</w:t>
            </w:r>
          </w:p>
        </w:tc>
      </w:tr>
      <w:tr>
        <w:tc>
          <w:tcPr>
            <w:tcW w:type="dxa" w:w="2340"/>
            <w:shd w:fill="FFFFFF"/>
            <w:tcMar>
              <w:top w:w="70" w:type="dxa"/>
              <w:bottom w:w="70" w:type="dxa"/>
              <w:left w:w="90" w:type="dxa"/>
              <w:right w:w="9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color w:val="262626"/>
                <w:sz w:val="18"/>
              </w:rPr>
              <w:t>whatsapp</w:t>
            </w:r>
          </w:p>
        </w:tc>
        <w:tc>
          <w:tcPr>
            <w:tcW w:type="dxa" w:w="2340"/>
            <w:shd w:fill="FFFFFF"/>
            <w:tcMar>
              <w:top w:w="70" w:type="dxa"/>
              <w:bottom w:w="70" w:type="dxa"/>
              <w:left w:w="90" w:type="dxa"/>
              <w:right w:w="9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color w:val="262626"/>
                <w:sz w:val="18"/>
              </w:rPr>
              <w:t>backend/whatsapp/</w:t>
            </w:r>
          </w:p>
        </w:tc>
        <w:tc>
          <w:tcPr>
            <w:tcW w:type="dxa" w:w="2340"/>
            <w:shd w:fill="FFFFFF"/>
            <w:tcMar>
              <w:top w:w="70" w:type="dxa"/>
              <w:bottom w:w="70" w:type="dxa"/>
              <w:left w:w="90" w:type="dxa"/>
              <w:right w:w="9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color w:val="262626"/>
                <w:sz w:val="18"/>
              </w:rPr>
              <w:t>WhatsAppSession, WhatsAppMessage, WhatsAppConversation, WhatsAppSafetyEvent</w:t>
            </w:r>
          </w:p>
        </w:tc>
        <w:tc>
          <w:tcPr>
            <w:tcW w:type="dxa" w:w="2340"/>
            <w:shd w:fill="FFFFFF"/>
            <w:tcMar>
              <w:top w:w="70" w:type="dxa"/>
              <w:bottom w:w="70" w:type="dxa"/>
              <w:left w:w="90" w:type="dxa"/>
              <w:right w:w="9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color w:val="262626"/>
                <w:sz w:val="18"/>
              </w:rPr>
              <w:t>WAHA engine communication, session QR pairing, HMAC webhook ingestion, SSRF safe media proxy</w:t>
            </w:r>
          </w:p>
        </w:tc>
      </w:tr>
      <w:tr>
        <w:tc>
          <w:tcPr>
            <w:tcW w:type="dxa" w:w="2340"/>
            <w:shd w:fill="F8FAFC"/>
            <w:tcMar>
              <w:top w:w="70" w:type="dxa"/>
              <w:bottom w:w="70" w:type="dxa"/>
              <w:left w:w="90" w:type="dxa"/>
              <w:right w:w="9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color w:val="262626"/>
                <w:sz w:val="18"/>
              </w:rPr>
              <w:t>digital_marketing</w:t>
            </w:r>
          </w:p>
        </w:tc>
        <w:tc>
          <w:tcPr>
            <w:tcW w:type="dxa" w:w="2340"/>
            <w:shd w:fill="F8FAFC"/>
            <w:tcMar>
              <w:top w:w="70" w:type="dxa"/>
              <w:bottom w:w="70" w:type="dxa"/>
              <w:left w:w="90" w:type="dxa"/>
              <w:right w:w="9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color w:val="262626"/>
                <w:sz w:val="18"/>
              </w:rPr>
              <w:t>backend/digital_marketing/</w:t>
            </w:r>
          </w:p>
        </w:tc>
        <w:tc>
          <w:tcPr>
            <w:tcW w:type="dxa" w:w="2340"/>
            <w:shd w:fill="F8FAFC"/>
            <w:tcMar>
              <w:top w:w="70" w:type="dxa"/>
              <w:bottom w:w="70" w:type="dxa"/>
              <w:left w:w="90" w:type="dxa"/>
              <w:right w:w="9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color w:val="262626"/>
                <w:sz w:val="18"/>
              </w:rPr>
              <w:t>SocialAccount, SocialPost, SocialAnalytics, AdCampaign, DirectMessage</w:t>
            </w:r>
          </w:p>
        </w:tc>
        <w:tc>
          <w:tcPr>
            <w:tcW w:type="dxa" w:w="2340"/>
            <w:shd w:fill="F8FAFC"/>
            <w:tcMar>
              <w:top w:w="70" w:type="dxa"/>
              <w:bottom w:w="70" w:type="dxa"/>
              <w:left w:w="90" w:type="dxa"/>
              <w:right w:w="90" w:type="dxa"/>
            </w:tcMar>
            <w:tcBorders>
              <w:top w:val="single" w:sz="4" w:space="0" w:color="E2E8F0"/>
              <w:left w:val="single" w:sz="4" w:space="0" w:color="E2E8F0"/>
              <w:bottom w:val="single" w:sz="4" w:space="0" w:color="E2E8F0"/>
              <w:right w:val="single" w:sz="4" w:space="0" w:color="E2E8F0"/>
            </w:tcBorders>
          </w:tcPr>
          <w:p>
            <w:pPr>
              <w:spacing w:after="0"/>
            </w:pPr>
            <w:r>
              <w:rPr>
                <w:rFonts w:ascii="Calibri" w:hAnsi="Calibri"/>
                <w:color w:val="262626"/>
                <w:sz w:val="18"/>
              </w:rPr>
              <w:t>Social connectivity (Meta IG/FB, Twitter v2), ad campaign analytics, social message triage</w:t>
            </w:r>
          </w:p>
        </w:tc>
      </w:tr>
    </w:tbl>
    <w:p>
      <w:pPr>
        <w:spacing w:after="120"/>
      </w:pPr>
    </w:p>
    <w:p>
      <w:pPr>
        <w:keepNext/>
        <w:spacing w:before="360" w:after="120"/>
      </w:pPr>
      <w:r>
        <w:rPr>
          <w:rFonts w:ascii="Calibri" w:hAnsi="Calibri"/>
          <w:b/>
          <w:color w:val="1F497D"/>
          <w:sz w:val="32"/>
        </w:rPr>
        <w:t>3.0 Critical Business Workflows &amp; State Machines</w:t>
      </w:r>
    </w:p>
    <w:p>
      <w:r>
        <w:rPr>
          <w:rFonts w:ascii="Calibri" w:hAnsi="Calibri"/>
          <w:color w:val="262626"/>
          <w:sz w:val="21"/>
        </w:rPr>
        <w:t>MarketIntel DB implements strict state-driven business processes to maintain high data integrity. The primary workflows include Prospect Acquisition &amp; Corporate Hierarchy, Lead Qualification Pipeline (LQ), and Bulk Email Outreach Pacing.</w:t>
      </w:r>
    </w:p>
    <w:p>
      <w:pPr>
        <w:keepNext/>
        <w:spacing w:before="280" w:after="80"/>
      </w:pPr>
      <w:r>
        <w:rPr>
          <w:rFonts w:ascii="Calibri" w:hAnsi="Calibri"/>
          <w:b/>
          <w:color w:val="2E75B6"/>
          <w:sz w:val="26"/>
        </w:rPr>
        <w:t>3.1 Lead Qualification (LQ) State Machine</w:t>
      </w:r>
    </w:p>
    <w:p>
      <w:r>
        <w:rPr>
          <w:rFonts w:ascii="Calibri" w:hAnsi="Calibri"/>
          <w:color w:val="262626"/>
          <w:sz w:val="21"/>
        </w:rPr>
        <w:t>Lead Qualifiers operate in a controlled queue of 5 sequentially assigned prospects. Each prospect progresses through explicit qualification states: PENDING -&gt; IN_PROGRESS -&gt; CALLBACK_SCHEDULED -&gt; MEETING_SCHEDULED -&gt; VERIFIED -&gt; ISSUED or REJECTED.</w:t>
      </w:r>
    </w:p>
    <w:p>
      <w:pPr>
        <w:jc w:val="center"/>
      </w:pPr>
      <w:r>
        <w:drawing>
          <wp:inline xmlns:a="http://schemas.openxmlformats.org/drawingml/2006/main" xmlns:pic="http://schemas.openxmlformats.org/drawingml/2006/picture">
            <wp:extent cx="5669280" cy="2685448"/>
            <wp:docPr id="2" name="Picture 2"/>
            <wp:cNvGraphicFramePr>
              <a:graphicFrameLocks noChangeAspect="1"/>
            </wp:cNvGraphicFramePr>
            <a:graphic>
              <a:graphicData uri="http://schemas.openxmlformats.org/drawingml/2006/picture">
                <pic:pic>
                  <pic:nvPicPr>
                    <pic:cNvPr id="0" name="lq_pipeline_workflow.png"/>
                    <pic:cNvPicPr/>
                  </pic:nvPicPr>
                  <pic:blipFill>
                    <a:blip r:embed="rId12"/>
                    <a:stretch>
                      <a:fillRect/>
                    </a:stretch>
                  </pic:blipFill>
                  <pic:spPr>
                    <a:xfrm>
                      <a:off x="0" y="0"/>
                      <a:ext cx="5669280" cy="2685448"/>
                    </a:xfrm>
                    <a:prstGeom prst="rect"/>
                  </pic:spPr>
                </pic:pic>
              </a:graphicData>
            </a:graphic>
          </wp:inline>
        </w:drawing>
      </w:r>
    </w:p>
    <w:p>
      <w:pPr>
        <w:spacing w:before="80" w:after="240"/>
        <w:jc w:val="center"/>
      </w:pPr>
      <w:r>
        <w:rPr>
          <w:rFonts w:ascii="Calibri" w:hAnsi="Calibri"/>
          <w:i/>
          <w:color w:val="505050"/>
          <w:sz w:val="18"/>
        </w:rPr>
        <w:t>Figure: Lead Qualification Pipeline State Transitions</w:t>
      </w:r>
    </w:p>
    <w:p>
      <w:pPr>
        <w:keepNext/>
        <w:spacing w:before="360" w:after="120"/>
      </w:pPr>
      <w:r>
        <w:rPr>
          <w:rFonts w:ascii="Calibri" w:hAnsi="Calibri"/>
          <w:b/>
          <w:color w:val="1F497D"/>
          <w:sz w:val="32"/>
        </w:rPr>
        <w:t>4.0 Developer Onboarding &amp; Local Environment Setup</w:t>
      </w:r>
    </w:p>
    <w:p>
      <w:r>
        <w:rPr>
          <w:rFonts w:ascii="Calibri" w:hAnsi="Calibri"/>
          <w:color w:val="262626"/>
          <w:sz w:val="21"/>
        </w:rPr>
        <w:t>Developers onboarding to the MarketIntel DB repository must adhere to the following local setup procedures. The backend utilizes Python 3.12+ (or 3.14 compatible) with virtual environments, while the frontend requires Node.js 20+.</w:t>
      </w:r>
    </w:p>
    <w:tbl>
      <w:tblPr>
        <w:tblW w:type="auto" w:w="0"/>
        <w:jc w:val="center"/>
        <w:tblLook w:firstColumn="1" w:firstRow="1" w:lastColumn="0" w:lastRow="0" w:noHBand="0" w:noVBand="1" w:val="04A0"/>
      </w:tblPr>
      <w:tblGrid>
        <w:gridCol w:w="9360"/>
      </w:tblGrid>
      <w:tr>
        <w:tc>
          <w:tcPr>
            <w:tcW w:type="dxa" w:w="9360"/>
            <w:shd w:fill="F4F5F7"/>
            <w:tcMar>
              <w:top w:w="100" w:type="dxa"/>
              <w:bottom w:w="100" w:type="dxa"/>
              <w:left w:w="140" w:type="dxa"/>
              <w:right w:w="140" w:type="dxa"/>
            </w:tcMar>
            <w:tcBorders>
              <w:top w:val="single" w:sz="4" w:space="0" w:color="E2E8F0"/>
              <w:left w:val="single" w:sz="12" w:space="0" w:color="1F497D"/>
              <w:bottom w:val="single" w:sz="4" w:space="0" w:color="E2E8F0"/>
              <w:right w:val="single" w:sz="4" w:space="0" w:color="E2E8F0"/>
            </w:tcBorders>
          </w:tcPr>
          <w:p>
            <w:pPr>
              <w:spacing w:line="252" w:lineRule="auto" w:after="0"/>
            </w:pPr>
            <w:r>
              <w:rPr>
                <w:rFonts w:ascii="Consolas" w:hAnsi="Consolas"/>
                <w:color w:val="0F172A"/>
                <w:sz w:val="18"/>
              </w:rPr>
              <w:t># 1. Backend Setup</w:t>
              <w:br/>
              <w:t>cd backend</w:t>
              <w:br/>
              <w:t>python -m venv venv</w:t>
              <w:br/>
              <w:t>venv\Scripts\activate  # On Windows</w:t>
              <w:br/>
              <w:t>pip install -r requirements.txt</w:t>
              <w:br/>
              <w:t>python manage.py migrate --settings=config.settings</w:t>
              <w:br/>
              <w:t>python manage.py runserver 0.0.0.0:8000</w:t>
              <w:br/>
              <w:br/>
              <w:t># 2. Frontend Setup</w:t>
              <w:br/>
              <w:t>cd ../frontend</w:t>
              <w:br/>
              <w:t>npm install</w:t>
              <w:br/>
              <w:t>npm run dev  # Launches Vite dev server at http://localhost:5173</w:t>
            </w:r>
          </w:p>
        </w:tc>
      </w:tr>
    </w:tbl>
    <w:p>
      <w:pPr>
        <w:spacing w:after="120"/>
      </w:pPr>
    </w:p>
    <w:tbl>
      <w:tblPr>
        <w:tblW w:type="auto" w:w="0"/>
        <w:jc w:val="center"/>
        <w:tblLook w:firstColumn="1" w:firstRow="1" w:lastColumn="0" w:lastRow="0" w:noHBand="0" w:noVBand="1" w:val="04A0"/>
      </w:tblPr>
      <w:tblGrid>
        <w:gridCol w:w="9360"/>
      </w:tblGrid>
      <w:tr>
        <w:tc>
          <w:tcPr>
            <w:tcW w:type="dxa" w:w="9360"/>
            <w:shd w:fill="FFFBEB"/>
            <w:tcMar>
              <w:top w:w="120" w:type="dxa"/>
              <w:bottom w:w="120" w:type="dxa"/>
              <w:left w:w="180" w:type="dxa"/>
              <w:right w:w="140" w:type="dxa"/>
            </w:tcMar>
            <w:tcBorders>
              <w:top w:val="none"/>
              <w:left w:val="single" w:sz="24" w:space="0" w:color="D97706"/>
              <w:bottom w:val="none"/>
              <w:right w:val="none"/>
            </w:tcBorders>
          </w:tcPr>
          <w:p>
            <w:pPr>
              <w:spacing w:after="80"/>
            </w:pPr>
            <w:r>
              <w:rPr>
                <w:rFonts w:ascii="Calibri" w:hAnsi="Calibri"/>
                <w:b/>
                <w:color w:val="D97706"/>
                <w:sz w:val="20"/>
              </w:rPr>
              <w:t>[WARNING]  Production Database Isolation</w:t>
              <w:br/>
            </w:r>
            <w:r>
              <w:rPr>
                <w:rFonts w:ascii="Calibri" w:hAnsi="Calibri"/>
                <w:color w:val="323232"/>
                <w:sz w:val="19"/>
              </w:rPr>
              <w:t>Never run production migrations against local test SQLite databases. For isolated unit and regression testing, always run 'python manage.py test --settings=settings_sqlite_test'. This runs the test suite against an in-memory database without affecting PostgreSQL schemas.</w:t>
            </w:r>
          </w:p>
        </w:tc>
      </w:tr>
    </w:tbl>
    <w:p>
      <w:pPr>
        <w:spacing w:after="120"/>
      </w:pPr>
    </w:p>
    <w:sectPr w:rsidR="00FC693F" w:rsidRPr="0006063C" w:rsidSect="00034616">
      <w:headerReference w:type="default" r:id="rId9"/>
      <w:footerReference w:type="default" r:id="rId10"/>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both"/>
    </w:pPr>
    <w:r>
      <w:rPr>
        <w:rFonts w:ascii="Calibri" w:hAnsi="Calibri"/>
        <w:color w:val="787878"/>
        <w:sz w:val="17"/>
      </w:rPr>
      <w:t>Confidential  |  Agent 13 — Master Architecture &amp; Traceability Lead  |  October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787878"/>
        <w:sz w:val="17"/>
      </w:rPr>
      <w:t>MarketIntel DB  |  DOC-00 — Master System Architecture &amp; Developer Onboarding Manual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26262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