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r>
        <w:rPr>
          <w:rFonts w:ascii="Calibri" w:hAnsi="Calibri"/>
          <w:b/>
          <w:color w:val="2E75B6"/>
          <w:sz w:val="20"/>
        </w:rPr>
        <w:t>MARKETINTEL DB TECHNICAL SPECIFICATION — DOC-01</w:t>
      </w:r>
    </w:p>
    <w:p>
      <w:pPr>
        <w:spacing w:before="200" w:after="200"/>
      </w:pPr>
      <w:r>
        <w:rPr>
          <w:rFonts w:ascii="Calibri" w:hAnsi="Calibri"/>
          <w:b/>
          <w:color w:val="1F497D"/>
          <w:sz w:val="52"/>
        </w:rPr>
        <w:t>Frontend Architecture and Implementation Manual</w:t>
      </w:r>
    </w:p>
    <w:p>
      <w:pPr>
        <w:spacing w:after="800"/>
      </w:pPr>
      <w:r>
        <w:rPr>
          <w:rFonts w:ascii="Calibri" w:hAnsi="Calibri"/>
          <w:color w:val="595959"/>
          <w:sz w:val="26"/>
        </w:rPr>
        <w:t>React 19 SPA, Vite 8.3 Bundler, Route-Level Code Splitting, Redux State, and Component Inventory</w:t>
      </w:r>
    </w:p>
    <w:tbl>
      <w:tblPr>
        <w:tblW w:type="auto" w:w="0"/>
        <w:jc w:val="center"/>
        <w:tblLook w:firstColumn="1" w:firstRow="1" w:lastColumn="0" w:lastRow="0" w:noHBand="0" w:noVBand="1" w:val="04A0"/>
      </w:tblPr>
      <w:tblGrid>
        <w:gridCol w:w="4680"/>
        <w:gridCol w:w="4680"/>
      </w:tblGrid>
      <w:tr>
        <w:tc>
          <w:tcPr>
            <w:tcW w:type="dxa" w:w="3168"/>
            <w:shd w:fill="F2F4F8"/>
            <w:tcMar>
              <w:top w:w="80" w:type="dxa"/>
              <w:bottom w:w="80" w:type="dxa"/>
              <w:left w:w="100" w:type="dxa"/>
              <w:right w:w="100" w:type="dxa"/>
            </w:tcMar>
            <w:tcBorders>
              <w:top w:val="none"/>
              <w:left w:val="none"/>
              <w:bottom w:val="single" w:sz="4" w:space="0" w:color="D9D9D9"/>
              <w:right w:val="none"/>
            </w:tcBorders>
          </w:tcPr>
          <w:p>
            <w:r>
              <w:rPr>
                <w:b/>
                <w:color w:val="1F497D"/>
                <w:sz w:val="19"/>
              </w:rPr>
              <w:t>Platform Name</w:t>
            </w:r>
          </w:p>
        </w:tc>
        <w:tc>
          <w:tcPr>
            <w:tcW w:type="dxa" w:w="6192"/>
            <w:shd w:fill="F2F4F8"/>
            <w:tcMar>
              <w:top w:w="80" w:type="dxa"/>
              <w:bottom w:w="80" w:type="dxa"/>
              <w:left w:w="100" w:type="dxa"/>
              <w:right w:w="100" w:type="dxa"/>
            </w:tcMar>
            <w:tcBorders>
              <w:top w:val="none"/>
              <w:left w:val="none"/>
              <w:bottom w:val="single" w:sz="4" w:space="0" w:color="D9D9D9"/>
              <w:right w:val="none"/>
            </w:tcBorders>
          </w:tcPr>
          <w:p>
            <w:r>
              <w:rPr>
                <w:color w:val="262626"/>
                <w:sz w:val="19"/>
              </w:rPr>
              <w:t>MarketIntel DB (Lead Intelligence &amp; CRM Platform)</w:t>
            </w:r>
          </w:p>
        </w:tc>
      </w:tr>
      <w:tr>
        <w:tc>
          <w:tcPr>
            <w:tcW w:type="dxa" w:w="3168"/>
            <w:shd w:fill="FFFFFF"/>
            <w:tcMar>
              <w:top w:w="80" w:type="dxa"/>
              <w:bottom w:w="80" w:type="dxa"/>
              <w:left w:w="100" w:type="dxa"/>
              <w:right w:w="100" w:type="dxa"/>
            </w:tcMar>
            <w:tcBorders>
              <w:top w:val="none"/>
              <w:left w:val="none"/>
              <w:bottom w:val="single" w:sz="4" w:space="0" w:color="D9D9D9"/>
              <w:right w:val="none"/>
            </w:tcBorders>
          </w:tcPr>
          <w:p>
            <w:r>
              <w:rPr>
                <w:b/>
                <w:color w:val="1F497D"/>
                <w:sz w:val="19"/>
              </w:rPr>
              <w:t>Document Identifier</w:t>
            </w:r>
          </w:p>
        </w:tc>
        <w:tc>
          <w:tcPr>
            <w:tcW w:type="dxa" w:w="6192"/>
            <w:shd w:fill="FFFFFF"/>
            <w:tcMar>
              <w:top w:w="80" w:type="dxa"/>
              <w:bottom w:w="80" w:type="dxa"/>
              <w:left w:w="100" w:type="dxa"/>
              <w:right w:w="100" w:type="dxa"/>
            </w:tcMar>
            <w:tcBorders>
              <w:top w:val="none"/>
              <w:left w:val="none"/>
              <w:bottom w:val="single" w:sz="4" w:space="0" w:color="D9D9D9"/>
              <w:right w:val="none"/>
            </w:tcBorders>
          </w:tcPr>
          <w:p>
            <w:r>
              <w:rPr>
                <w:color w:val="262626"/>
                <w:sz w:val="19"/>
              </w:rPr>
              <w:t>DOC-01 (Version 1.0.0)</w:t>
            </w:r>
          </w:p>
        </w:tc>
      </w:tr>
      <w:tr>
        <w:tc>
          <w:tcPr>
            <w:tcW w:type="dxa" w:w="3168"/>
            <w:shd w:fill="F2F4F8"/>
            <w:tcMar>
              <w:top w:w="80" w:type="dxa"/>
              <w:bottom w:w="80" w:type="dxa"/>
              <w:left w:w="100" w:type="dxa"/>
              <w:right w:w="100" w:type="dxa"/>
            </w:tcMar>
            <w:tcBorders>
              <w:top w:val="none"/>
              <w:left w:val="none"/>
              <w:bottom w:val="single" w:sz="4" w:space="0" w:color="D9D9D9"/>
              <w:right w:val="none"/>
            </w:tcBorders>
          </w:tcPr>
          <w:p>
            <w:r>
              <w:rPr>
                <w:b/>
                <w:color w:val="1F497D"/>
                <w:sz w:val="19"/>
              </w:rPr>
              <w:t>Lead Analysis Specialist</w:t>
            </w:r>
          </w:p>
        </w:tc>
        <w:tc>
          <w:tcPr>
            <w:tcW w:type="dxa" w:w="6192"/>
            <w:shd w:fill="F2F4F8"/>
            <w:tcMar>
              <w:top w:w="80" w:type="dxa"/>
              <w:bottom w:w="80" w:type="dxa"/>
              <w:left w:w="100" w:type="dxa"/>
              <w:right w:w="100" w:type="dxa"/>
            </w:tcMar>
            <w:tcBorders>
              <w:top w:val="none"/>
              <w:left w:val="none"/>
              <w:bottom w:val="single" w:sz="4" w:space="0" w:color="D9D9D9"/>
              <w:right w:val="none"/>
            </w:tcBorders>
          </w:tcPr>
          <w:p>
            <w:r>
              <w:rPr>
                <w:color w:val="262626"/>
                <w:sz w:val="19"/>
              </w:rPr>
              <w:t>Agent 2 — Frontend Architecture Specialist</w:t>
            </w:r>
          </w:p>
        </w:tc>
      </w:tr>
      <w:tr>
        <w:tc>
          <w:tcPr>
            <w:tcW w:type="dxa" w:w="3168"/>
            <w:shd w:fill="FFFFFF"/>
            <w:tcMar>
              <w:top w:w="80" w:type="dxa"/>
              <w:bottom w:w="80" w:type="dxa"/>
              <w:left w:w="100" w:type="dxa"/>
              <w:right w:w="100" w:type="dxa"/>
            </w:tcMar>
            <w:tcBorders>
              <w:top w:val="none"/>
              <w:left w:val="none"/>
              <w:bottom w:val="single" w:sz="4" w:space="0" w:color="D9D9D9"/>
              <w:right w:val="none"/>
            </w:tcBorders>
          </w:tcPr>
          <w:p>
            <w:r>
              <w:rPr>
                <w:b/>
                <w:color w:val="1F497D"/>
                <w:sz w:val="19"/>
              </w:rPr>
              <w:t>Date of Publication</w:t>
            </w:r>
          </w:p>
        </w:tc>
        <w:tc>
          <w:tcPr>
            <w:tcW w:type="dxa" w:w="6192"/>
            <w:shd w:fill="FFFFFF"/>
            <w:tcMar>
              <w:top w:w="80" w:type="dxa"/>
              <w:bottom w:w="80" w:type="dxa"/>
              <w:left w:w="100" w:type="dxa"/>
              <w:right w:w="100" w:type="dxa"/>
            </w:tcMar>
            <w:tcBorders>
              <w:top w:val="none"/>
              <w:left w:val="none"/>
              <w:bottom w:val="single" w:sz="4" w:space="0" w:color="D9D9D9"/>
              <w:right w:val="none"/>
            </w:tcBorders>
          </w:tcPr>
          <w:p>
            <w:r>
              <w:rPr>
                <w:color w:val="262626"/>
                <w:sz w:val="19"/>
              </w:rPr>
              <w:t>October 27, 2026</w:t>
            </w:r>
          </w:p>
        </w:tc>
      </w:tr>
      <w:tr>
        <w:tc>
          <w:tcPr>
            <w:tcW w:type="dxa" w:w="3168"/>
            <w:shd w:fill="F2F4F8"/>
            <w:tcMar>
              <w:top w:w="80" w:type="dxa"/>
              <w:bottom w:w="80" w:type="dxa"/>
              <w:left w:w="100" w:type="dxa"/>
              <w:right w:w="100" w:type="dxa"/>
            </w:tcMar>
            <w:tcBorders>
              <w:top w:val="none"/>
              <w:left w:val="none"/>
              <w:bottom w:val="single" w:sz="4" w:space="0" w:color="D9D9D9"/>
              <w:right w:val="none"/>
            </w:tcBorders>
          </w:tcPr>
          <w:p>
            <w:r>
              <w:rPr>
                <w:b/>
                <w:color w:val="1F497D"/>
                <w:sz w:val="19"/>
              </w:rPr>
              <w:t>Reverse Engineering Tool</w:t>
            </w:r>
          </w:p>
        </w:tc>
        <w:tc>
          <w:tcPr>
            <w:tcW w:type="dxa" w:w="6192"/>
            <w:shd w:fill="F2F4F8"/>
            <w:tcMar>
              <w:top w:w="80" w:type="dxa"/>
              <w:bottom w:w="80" w:type="dxa"/>
              <w:left w:w="100" w:type="dxa"/>
              <w:right w:w="100" w:type="dxa"/>
            </w:tcMar>
            <w:tcBorders>
              <w:top w:val="none"/>
              <w:left w:val="none"/>
              <w:bottom w:val="single" w:sz="4" w:space="0" w:color="D9D9D9"/>
              <w:right w:val="none"/>
            </w:tcBorders>
          </w:tcPr>
          <w:p>
            <w:r>
              <w:rPr>
                <w:color w:val="262626"/>
                <w:sz w:val="19"/>
              </w:rPr>
              <w:t>REA 6.7.0 (Reverse Engineering Anything) + MCP</w:t>
            </w:r>
          </w:p>
        </w:tc>
      </w:tr>
      <w:tr>
        <w:tc>
          <w:tcPr>
            <w:tcW w:type="dxa" w:w="3168"/>
            <w:shd w:fill="FFFFFF"/>
            <w:tcMar>
              <w:top w:w="80" w:type="dxa"/>
              <w:bottom w:w="80" w:type="dxa"/>
              <w:left w:w="100" w:type="dxa"/>
              <w:right w:w="100" w:type="dxa"/>
            </w:tcMar>
            <w:tcBorders>
              <w:top w:val="none"/>
              <w:left w:val="none"/>
              <w:bottom w:val="single" w:sz="4" w:space="0" w:color="D9D9D9"/>
              <w:right w:val="none"/>
            </w:tcBorders>
          </w:tcPr>
          <w:p>
            <w:r>
              <w:rPr>
                <w:b/>
                <w:color w:val="1F497D"/>
                <w:sz w:val="19"/>
              </w:rPr>
              <w:t>Classification</w:t>
            </w:r>
          </w:p>
        </w:tc>
        <w:tc>
          <w:tcPr>
            <w:tcW w:type="dxa" w:w="6192"/>
            <w:shd w:fill="FFFFFF"/>
            <w:tcMar>
              <w:top w:w="80" w:type="dxa"/>
              <w:bottom w:w="80" w:type="dxa"/>
              <w:left w:w="100" w:type="dxa"/>
              <w:right w:w="100" w:type="dxa"/>
            </w:tcMar>
            <w:tcBorders>
              <w:top w:val="none"/>
              <w:left w:val="none"/>
              <w:bottom w:val="single" w:sz="4" w:space="0" w:color="D9D9D9"/>
              <w:right w:val="none"/>
            </w:tcBorders>
          </w:tcPr>
          <w:p>
            <w:r>
              <w:rPr>
                <w:color w:val="262626"/>
                <w:sz w:val="19"/>
              </w:rPr>
              <w:t>Confidential — Internal Engineering &amp; Architecture Manual</w:t>
            </w:r>
          </w:p>
        </w:tc>
      </w:tr>
    </w:tbl>
    <w:p>
      <w:r>
        <w:br w:type="page"/>
      </w:r>
    </w:p>
    <w:p>
      <w:pPr>
        <w:keepNext/>
        <w:spacing w:before="360" w:after="120"/>
      </w:pPr>
      <w:r>
        <w:rPr>
          <w:rFonts w:ascii="Calibri" w:hAnsi="Calibri"/>
          <w:b/>
          <w:color w:val="1F497D"/>
          <w:sz w:val="32"/>
        </w:rPr>
        <w:t>1.0 Frontend Architectural Overview</w:t>
      </w:r>
    </w:p>
    <w:p>
      <w:r>
        <w:rPr>
          <w:rFonts w:ascii="Calibri" w:hAnsi="Calibri"/>
          <w:color w:val="262626"/>
          <w:sz w:val="21"/>
        </w:rPr>
        <w:t>The MarketIntel DB frontend is architected as a modern, reactive Single-Page Application (SPA) built using React 19.2.8 and compiled with Vite 8.3.0. The user interface leverages TailwindCSS 4.3.3 for utility styling, Lucide React for consistent icons, Redux Toolkit for global authentication and state management, and React Router 7.18.4 for client-side routing with role-based navigation guards.</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40" w:type="dxa"/>
            </w:tcMar>
            <w:tcBorders>
              <w:top w:val="none"/>
              <w:left w:val="single" w:sz="24" w:space="0" w:color="1F497D"/>
              <w:bottom w:val="none"/>
              <w:right w:val="none"/>
            </w:tcBorders>
          </w:tcPr>
          <w:p>
            <w:pPr>
              <w:spacing w:after="80"/>
            </w:pPr>
            <w:r>
              <w:rPr>
                <w:rFonts w:ascii="Calibri" w:hAnsi="Calibri"/>
                <w:b/>
                <w:color w:val="1F497D"/>
                <w:sz w:val="20"/>
              </w:rPr>
              <w:t>[NOTE]  Performance Optimization: Route-Level Code Splitting</w:t>
              <w:br/>
            </w:r>
            <w:r>
              <w:rPr>
                <w:rFonts w:ascii="Calibri" w:hAnsi="Calibri"/>
                <w:color w:val="323232"/>
                <w:sz w:val="19"/>
              </w:rPr>
              <w:t>Following security and performance remediation task REM-10, all page components in AppRouter.jsx are dynamically imported via React.lazy() and wrapped in a Suspense boundary with a custom PageSpinner fallback. This reduced the monolithic production JavaScript bundle from 1.51 MB to 327 kB (a 78% reduction), improving initial page load times across all desktop and mobile viewports.</w:t>
            </w:r>
          </w:p>
        </w:tc>
      </w:tr>
    </w:tbl>
    <w:p>
      <w:pPr>
        <w:spacing w:after="120"/>
      </w:pPr>
    </w:p>
    <w:p>
      <w:pPr>
        <w:keepNext/>
        <w:spacing w:before="360" w:after="120"/>
      </w:pPr>
      <w:r>
        <w:rPr>
          <w:rFonts w:ascii="Calibri" w:hAnsi="Calibri"/>
          <w:b/>
          <w:color w:val="1F497D"/>
          <w:sz w:val="32"/>
        </w:rPr>
        <w:t>2.0 Routing Architecture &amp; Page Directory</w:t>
      </w:r>
    </w:p>
    <w:p>
      <w:r>
        <w:rPr>
          <w:rFonts w:ascii="Calibri" w:hAnsi="Calibri"/>
          <w:color w:val="262626"/>
          <w:sz w:val="21"/>
        </w:rPr>
        <w:t>The application router (frontend/src/router/AppRouter.jsx) defines 26 primary routes, organized into public authentication callbacks, role-restricted dashboard views, and shared CRM interfaces.</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Mar>
              <w:top w:w="100" w:type="dxa"/>
              <w:bottom w:w="100" w:type="dxa"/>
              <w:left w:w="100" w:type="dxa"/>
              <w:right w:w="100" w:type="dxa"/>
            </w:tcMar>
          </w:tcPr>
          <w:p>
            <w:pPr>
              <w:spacing w:after="0"/>
              <w:jc w:val="center"/>
            </w:pPr>
            <w:r>
              <w:rPr>
                <w:rFonts w:ascii="Calibri" w:hAnsi="Calibri"/>
                <w:b/>
                <w:color w:val="FFFFFF"/>
                <w:sz w:val="19"/>
              </w:rPr>
              <w:t>Route Path</w:t>
            </w:r>
          </w:p>
        </w:tc>
        <w:tc>
          <w:tcPr>
            <w:tcW w:type="dxa" w:w="2340"/>
            <w:shd w:fill="1F497D"/>
            <w:tcMar>
              <w:top w:w="100" w:type="dxa"/>
              <w:bottom w:w="100" w:type="dxa"/>
              <w:left w:w="100" w:type="dxa"/>
              <w:right w:w="100" w:type="dxa"/>
            </w:tcMar>
          </w:tcPr>
          <w:p>
            <w:pPr>
              <w:spacing w:after="0"/>
              <w:jc w:val="center"/>
            </w:pPr>
            <w:r>
              <w:rPr>
                <w:rFonts w:ascii="Calibri" w:hAnsi="Calibri"/>
                <w:b/>
                <w:color w:val="FFFFFF"/>
                <w:sz w:val="19"/>
              </w:rPr>
              <w:t>Page Component File</w:t>
            </w:r>
          </w:p>
        </w:tc>
        <w:tc>
          <w:tcPr>
            <w:tcW w:type="dxa" w:w="2340"/>
            <w:shd w:fill="1F497D"/>
            <w:tcMar>
              <w:top w:w="100" w:type="dxa"/>
              <w:bottom w:w="100" w:type="dxa"/>
              <w:left w:w="100" w:type="dxa"/>
              <w:right w:w="100" w:type="dxa"/>
            </w:tcMar>
          </w:tcPr>
          <w:p>
            <w:pPr>
              <w:spacing w:after="0"/>
              <w:jc w:val="center"/>
            </w:pPr>
            <w:r>
              <w:rPr>
                <w:rFonts w:ascii="Calibri" w:hAnsi="Calibri"/>
                <w:b/>
                <w:color w:val="FFFFFF"/>
                <w:sz w:val="19"/>
              </w:rPr>
              <w:t>Authorized Roles</w:t>
            </w:r>
          </w:p>
        </w:tc>
        <w:tc>
          <w:tcPr>
            <w:tcW w:type="dxa" w:w="2340"/>
            <w:shd w:fill="1F497D"/>
            <w:tcMar>
              <w:top w:w="100" w:type="dxa"/>
              <w:bottom w:w="100" w:type="dxa"/>
              <w:left w:w="100" w:type="dxa"/>
              <w:right w:w="100" w:type="dxa"/>
            </w:tcMar>
          </w:tcPr>
          <w:p>
            <w:pPr>
              <w:spacing w:after="0"/>
              <w:jc w:val="center"/>
            </w:pPr>
            <w:r>
              <w:rPr>
                <w:rFonts w:ascii="Calibri" w:hAnsi="Calibri"/>
                <w:b/>
                <w:color w:val="FFFFFF"/>
                <w:sz w:val="19"/>
              </w:rPr>
              <w:t>Purpose &amp; Primary UI Controls</w:t>
            </w:r>
          </w:p>
        </w:tc>
      </w:tr>
      <w:tr>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/login</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LoginPage.jsx</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Public (Unauthenticated)</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Email/Password JWT authentication and Google OAuth SSO redirect button</w:t>
            </w:r>
          </w:p>
        </w:tc>
      </w:tr>
      <w:tr>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/auth/google/callback</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LoginPage.jsx</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Public</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Google OAuth authorization code exchange listener and session bootstrap</w:t>
            </w:r>
          </w:p>
        </w:tc>
      </w:tr>
      <w:tr>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/auth/gmail/callback</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GmailCallbackPage.jsx</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Authenticated (LQ)</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Google Workspace Gmail OAuth credential capture and callback processing</w:t>
            </w:r>
          </w:p>
        </w:tc>
      </w:tr>
      <w:tr>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/auth/calendar/callback</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CalendarCallbackPage.jsx</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Authenticated (LQ)</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Google Calendar OAuth code exchange for automated Google Meet scheduling</w:t>
            </w:r>
          </w:p>
        </w:tc>
      </w:tr>
      <w:tr>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/dashboard</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PreDashboardPage.jsx</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PRE</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Prospect researcher KPI dashboard, pending tasks, recent prospect additions</w:t>
            </w:r>
          </w:p>
        </w:tc>
      </w:tr>
      <w:tr>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/prospects</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ProspectsPage.jsx</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PRE, MANAGER (Read-only)</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Filterable prospect directory, company search, status filters, add prospect modal</w:t>
            </w:r>
          </w:p>
        </w:tc>
      </w:tr>
      <w:tr>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/prospects/import-preview</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ImportPreviewPage.jsx</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PRE</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Excel/CSV import validator, column mapping, row preview, duplicate error log</w:t>
            </w:r>
          </w:p>
        </w:tc>
      </w:tr>
      <w:tr>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/prospects/:id</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ProspectDetailPage.jsx</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PRE, LQ, MANAGER</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Full prospect profile, corporate parent/subsidiary tree, offering cards, contact badges</w:t>
            </w:r>
          </w:p>
        </w:tc>
      </w:tr>
      <w:tr>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/government-entities</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GovernmentEntitiesPage.jsx</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PRE</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Government agency intelligence registry, procurement details, tender links</w:t>
            </w:r>
          </w:p>
        </w:tc>
      </w:tr>
      <w:tr>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/market-events</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MarketEventsPage.jsx</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PRE, LQ, MANAGER</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Industry events and exhibitions registry, date filter, attendee links</w:t>
            </w:r>
          </w:p>
        </w:tc>
      </w:tr>
      <w:tr>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/market-events/:id</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MarketEventDetailPage.jsx</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PRE, LQ, MANAGER</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Event participant breakdown, linked corporate prospects, booth numbers</w:t>
            </w:r>
          </w:p>
        </w:tc>
      </w:tr>
      <w:tr>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/pre-tasks</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PreTasksPage.jsx</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PRE, MANAGER</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Research task list, status toggles, priority flags, assignment filters</w:t>
            </w:r>
          </w:p>
        </w:tc>
      </w:tr>
      <w:tr>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/key-people</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KeyPeoplePage.jsx</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PRE, LQ, MANAGER</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Executive directory, title filtering, verified phone/email indicators, prospect links</w:t>
            </w:r>
          </w:p>
        </w:tc>
      </w:tr>
      <w:tr>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/users</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UserManagementPage.jsx</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MANAGER (Create/View), Superuser (Full)</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User provisioning modal, role dropdown (PRE/LQ/DM/MANAGER), active toggles</w:t>
            </w:r>
          </w:p>
        </w:tc>
      </w:tr>
      <w:tr>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/manager-dashboard</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ManagerDashboardPage.jsx</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MANAGER</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Daily team metrics, qualification throughput, lead issuance rates, conversion funnel</w:t>
            </w:r>
          </w:p>
        </w:tc>
      </w:tr>
      <w:tr>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/manager-audit</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ManagerAuditPage.jsx</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MANAGER</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LQ qualification audit log, rejected lead review, timestamped activity records</w:t>
            </w:r>
          </w:p>
        </w:tc>
      </w:tr>
      <w:tr>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/lq-pipeline</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LqPipelinePage.jsx</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LQ, MANAGER (Read-only)</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Assigned 5-prospect queue board, batch refresh, campaign launcher, filter tabs</w:t>
            </w:r>
          </w:p>
        </w:tc>
      </w:tr>
      <w:tr>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/lq-pipeline/:id</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LqPipelineDetailPage.jsx</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LQ, MANAGER</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Deep qualification modal, verified ratings, lead notes, Issue Lead / Reject Lead actions</w:t>
            </w:r>
          </w:p>
        </w:tc>
      </w:tr>
      <w:tr>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/inbox</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InboxPage.jsx</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LQ, MANAGER</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Multi-mailbox email client, Gmail sync status, folder navigation, prospect linking</w:t>
            </w:r>
          </w:p>
        </w:tc>
      </w:tr>
      <w:tr>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/calendar</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LqCalendarPage.jsx</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LQ, MANAGER</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Callback reminder calendar, Google Meet video link scheduler, attendee selector</w:t>
            </w:r>
          </w:p>
        </w:tc>
      </w:tr>
      <w:tr>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/whatsapp</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WhatsappPage.jsx</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LQ</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Live WAHA WhatsApp web interface, conversation list, message thread, QR pairing modal</w:t>
            </w:r>
          </w:p>
        </w:tc>
      </w:tr>
      <w:tr>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/settings</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SettingsPage.jsx</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LQ</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Mail accounts setup, Gmail connect/disconnect, email templates builder, signatures</w:t>
            </w:r>
          </w:p>
        </w:tc>
      </w:tr>
      <w:tr>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/digital-marketing</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DigitalMarketingDashboardPage.jsx</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DM</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Social engagement overview, reach/impressions cards, active ad campaign metrics</w:t>
            </w:r>
          </w:p>
        </w:tc>
      </w:tr>
      <w:tr>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/digital-marketing/messages</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SocialMessagesPage.jsx</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DM</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Unified social inbox across Instagram DMs and Facebook Messenger</w:t>
            </w:r>
          </w:p>
        </w:tc>
      </w:tr>
      <w:tr>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/digital-marketing/instagram</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InstagramPage.jsx</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DM</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Instagram feed manager, connected business account, media publishing modal</w:t>
            </w:r>
          </w:p>
        </w:tc>
      </w:tr>
      <w:tr>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/digital-marketing/twitter</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TwitterPage.jsx</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DM</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Twitter/X account status, tweet composer, character counter, recent tweet feed</w:t>
            </w:r>
          </w:p>
        </w:tc>
      </w:tr>
      <w:tr>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/digital-marketing/ads-insights</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AdsInsightsPage.jsx</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DM</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Meta ad spend analytics, campaign ROI charts, date range selector</w:t>
            </w:r>
          </w:p>
        </w:tc>
      </w:tr>
    </w:tbl>
    <w:p>
      <w:pPr>
        <w:spacing w:after="120"/>
      </w:pPr>
    </w:p>
    <w:p>
      <w:pPr>
        <w:keepNext/>
        <w:spacing w:before="360" w:after="120"/>
      </w:pPr>
      <w:r>
        <w:rPr>
          <w:rFonts w:ascii="Calibri" w:hAnsi="Calibri"/>
          <w:b/>
          <w:color w:val="1F497D"/>
          <w:sz w:val="32"/>
        </w:rPr>
        <w:t>3.0 State Management &amp; API Integration Architecture</w:t>
      </w:r>
    </w:p>
    <w:p>
      <w:r>
        <w:rPr>
          <w:rFonts w:ascii="Calibri" w:hAnsi="Calibri"/>
          <w:color w:val="262626"/>
          <w:sz w:val="21"/>
        </w:rPr>
        <w:t>Frontend global state is governed by Redux Toolkit (frontend/src/features/), organized into slices for authentication, prospect management, pipeline tracking, and manager analytics. HTTP communication is centralized in frontend/src/services/api.js, which implements Axios interceptors for automatic JWT cookie handling, CSRF token attachment, and seamless refresh token rotation.</w:t>
      </w:r>
    </w:p>
    <w:p>
      <w:pPr>
        <w:keepNext/>
        <w:spacing w:before="280" w:after="80"/>
      </w:pPr>
      <w:r>
        <w:rPr>
          <w:rFonts w:ascii="Calibri" w:hAnsi="Calibri"/>
          <w:b/>
          <w:color w:val="2E75B6"/>
          <w:sz w:val="26"/>
        </w:rPr>
        <w:t>3.1 Axios Interceptor &amp; Authentication Flow</w:t>
      </w:r>
    </w:p>
    <w:tbl>
      <w:tblPr>
        <w:tblW w:type="auto" w:w="0"/>
        <w:jc w:val="center"/>
        <w:tblLook w:firstColumn="1" w:firstRow="1" w:lastColumn="0" w:lastRow="0" w:noHBand="0" w:noVBand="1" w:val="04A0"/>
      </w:tblPr>
      <w:tblGrid>
        <w:gridCol w:w="9360"/>
      </w:tblGrid>
      <w:tr>
        <w:tc>
          <w:tcPr>
            <w:tcW w:type="dxa" w:w="9360"/>
            <w:shd w:fill="F4F5F7"/>
            <w:tcMar>
              <w:top w:w="100" w:type="dxa"/>
              <w:bottom w:w="100" w:type="dxa"/>
              <w:left w:w="140" w:type="dxa"/>
              <w:right w:w="140" w:type="dxa"/>
            </w:tcMar>
            <w:tcBorders>
              <w:top w:val="single" w:sz="4" w:space="0" w:color="E2E8F0"/>
              <w:left w:val="single" w:sz="12" w:space="0" w:color="1F497D"/>
              <w:bottom w:val="single" w:sz="4" w:space="0" w:color="E2E8F0"/>
              <w:right w:val="single" w:sz="4" w:space="0" w:color="E2E8F0"/>
            </w:tcBorders>
          </w:tcPr>
          <w:p>
            <w:pPr>
              <w:spacing w:line="252" w:lineRule="auto" w:after="0"/>
            </w:pPr>
            <w:r>
              <w:rPr>
                <w:rFonts w:ascii="Consolas" w:hAnsi="Consolas"/>
                <w:color w:val="0F172A"/>
                <w:sz w:val="18"/>
              </w:rPr>
              <w:t>// frontend/src/services/api.js</w:t>
              <w:br/>
              <w:t>import axios from 'axios';</w:t>
              <w:br/>
              <w:br/>
              <w:t>const api = axios.create({</w:t>
              <w:br/>
              <w:t xml:space="preserve">  baseURL: import.meta.env.VITE_API_URL || '/api',</w:t>
              <w:br/>
              <w:t xml:space="preserve">  withCredentials: true, // Sends HttpOnly JWT cookies</w:t>
              <w:br/>
              <w:t xml:space="preserve">  headers: {</w:t>
              <w:br/>
              <w:t xml:space="preserve">    'Content-Type': 'application/json',</w:t>
              <w:br/>
              <w:t xml:space="preserve">  },</w:t>
              <w:br/>
              <w:t>});</w:t>
              <w:br/>
              <w:br/>
              <w:t>api.interceptors.response.use(</w:t>
              <w:br/>
              <w:t xml:space="preserve">  (response) =&gt; response,</w:t>
              <w:br/>
              <w:t xml:space="preserve">  async (error) =&gt; {</w:t>
              <w:br/>
              <w:t xml:space="preserve">    const originalRequest = error.config;</w:t>
              <w:br/>
              <w:t xml:space="preserve">    if (error.response?.status === 401 &amp;&amp; !originalRequest._retry) {</w:t>
              <w:br/>
              <w:t xml:space="preserve">      originalRequest._retry = true;</w:t>
              <w:br/>
              <w:t xml:space="preserve">      try {</w:t>
              <w:br/>
              <w:t xml:space="preserve">        await api.post('/auth/refresh/');</w:t>
              <w:br/>
              <w:t xml:space="preserve">        return api(originalRequest);</w:t>
              <w:br/>
              <w:t xml:space="preserve">      } catch (refreshError) {</w:t>
              <w:br/>
              <w:t xml:space="preserve">        window.location.href = '/login';</w:t>
              <w:br/>
              <w:t xml:space="preserve">        return Promise.reject(refreshError);</w:t>
              <w:br/>
              <w:t xml:space="preserve">      }</w:t>
              <w:br/>
              <w:t xml:space="preserve">    }</w:t>
              <w:br/>
              <w:t xml:space="preserve">    return Promise.reject(error);</w:t>
              <w:br/>
              <w:t xml:space="preserve">  }</w:t>
              <w:br/>
              <w:t>);</w:t>
            </w:r>
          </w:p>
        </w:tc>
      </w:tr>
    </w:tbl>
    <w:p>
      <w:pPr>
        <w:spacing w:after="120"/>
      </w:pPr>
    </w:p>
    <w:p>
      <w:pPr>
        <w:keepNext/>
        <w:spacing w:before="360" w:after="120"/>
      </w:pPr>
      <w:r>
        <w:rPr>
          <w:rFonts w:ascii="Calibri" w:hAnsi="Calibri"/>
          <w:b/>
          <w:color w:val="1F497D"/>
          <w:sz w:val="32"/>
        </w:rPr>
        <w:t>4.0 Component Directory &amp; Interactive Controls</w:t>
      </w:r>
    </w:p>
    <w:p>
      <w:r>
        <w:rPr>
          <w:rFonts w:ascii="Calibri" w:hAnsi="Calibri"/>
          <w:color w:val="262626"/>
          <w:sz w:val="21"/>
        </w:rPr>
        <w:t>The user interface contains over 60 reusable and page-specific components in frontend/src/components/. Significant components include:</w:t>
      </w:r>
    </w:p>
    <w:p>
      <w:r>
        <w:rPr>
          <w:rFonts w:ascii="Calibri" w:hAnsi="Calibri"/>
          <w:color w:val="262626"/>
          <w:sz w:val="21"/>
        </w:rPr>
        <w:t>• LqWorkspaceModal.jsx (frontend/src/components/lq/): The primary qualification command center, featuring prospect offering toggles, key people phone cards, email drafting with template injection, meeting scheduling, and final qualification rating.</w:t>
      </w:r>
    </w:p>
    <w:p>
      <w:r>
        <w:rPr>
          <w:rFonts w:ascii="Calibri" w:hAnsi="Calibri"/>
          <w:color w:val="262626"/>
          <w:sz w:val="21"/>
        </w:rPr>
        <w:t>• CorporateStructureTree.jsx (frontend/src/components/prospects/): Interactive visual hierarchical tree rendering parent corporations, subsidiaries, shareholding percentages, and linked entities.</w:t>
      </w:r>
    </w:p>
    <w:p>
      <w:r>
        <w:rPr>
          <w:rFonts w:ascii="Calibri" w:hAnsi="Calibri"/>
          <w:color w:val="262626"/>
          <w:sz w:val="21"/>
        </w:rPr>
        <w:t>• ProspectForm.jsx (frontend/src/components/prospects/): Complex multi-tab prospect data entry form with real-time domain validation, country selectors, offering taggers, and duplicate domain warning checks.</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787878"/>
        <w:sz w:val="17"/>
      </w:rPr>
      <w:t>Confidential  |  Agent 2 — Frontend Architecture Specialist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MarketIntel DB  |  DOC-01 — Frontend Architecture and Implementation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