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</w:pPr>
    </w:p>
    <w:p>
      <w:r>
        <w:rPr>
          <w:rFonts w:ascii="Calibri" w:hAnsi="Calibri"/>
          <w:b/>
          <w:color w:val="2E75B6"/>
          <w:sz w:val="20"/>
        </w:rPr>
        <w:t>MARKETINTEL DB TECHNICAL SPECIFICATION — DOC-02</w:t>
      </w:r>
    </w:p>
    <w:p>
      <w:pPr>
        <w:spacing w:before="200" w:after="200"/>
      </w:pPr>
      <w:r>
        <w:rPr>
          <w:rFonts w:ascii="Calibri" w:hAnsi="Calibri"/>
          <w:b/>
          <w:color w:val="1F497D"/>
          <w:sz w:val="52"/>
        </w:rPr>
        <w:t>Backend Architecture and Implementation Manual</w:t>
      </w:r>
    </w:p>
    <w:p>
      <w:pPr>
        <w:spacing w:after="800"/>
      </w:pPr>
      <w:r>
        <w:rPr>
          <w:rFonts w:ascii="Calibri" w:hAnsi="Calibri"/>
          <w:color w:val="595959"/>
          <w:sz w:val="26"/>
        </w:rPr>
        <w:t>Django 6.1.1, Django REST Framework 3.18.1, Service Layer Design, Signals, and Request Lifecycle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2F4F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D9D9D9"/>
              <w:right w:val="none"/>
            </w:tcBorders>
          </w:tcPr>
          <w:p>
            <w:r>
              <w:rPr>
                <w:b/>
                <w:color w:val="1F497D"/>
                <w:sz w:val="19"/>
              </w:rPr>
              <w:t>Platform Name</w:t>
            </w:r>
          </w:p>
        </w:tc>
        <w:tc>
          <w:tcPr>
            <w:tcW w:type="dxa" w:w="6192"/>
            <w:shd w:fill="F2F4F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D9D9D9"/>
              <w:right w:val="none"/>
            </w:tcBorders>
          </w:tcPr>
          <w:p>
            <w:r>
              <w:rPr>
                <w:color w:val="262626"/>
                <w:sz w:val="19"/>
              </w:rPr>
              <w:t>MarketIntel DB (Lead Intelligence &amp; CRM Platform)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D9D9D9"/>
              <w:right w:val="none"/>
            </w:tcBorders>
          </w:tcPr>
          <w:p>
            <w:r>
              <w:rPr>
                <w:b/>
                <w:color w:val="1F497D"/>
                <w:sz w:val="19"/>
              </w:rPr>
              <w:t>Document Identifier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D9D9D9"/>
              <w:right w:val="none"/>
            </w:tcBorders>
          </w:tcPr>
          <w:p>
            <w:r>
              <w:rPr>
                <w:color w:val="262626"/>
                <w:sz w:val="19"/>
              </w:rPr>
              <w:t>DOC-02 (Version 1.0.0)</w:t>
            </w:r>
          </w:p>
        </w:tc>
      </w:tr>
      <w:tr>
        <w:tc>
          <w:tcPr>
            <w:tcW w:type="dxa" w:w="3168"/>
            <w:shd w:fill="F2F4F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D9D9D9"/>
              <w:right w:val="none"/>
            </w:tcBorders>
          </w:tcPr>
          <w:p>
            <w:r>
              <w:rPr>
                <w:b/>
                <w:color w:val="1F497D"/>
                <w:sz w:val="19"/>
              </w:rPr>
              <w:t>Lead Analysis Specialist</w:t>
            </w:r>
          </w:p>
        </w:tc>
        <w:tc>
          <w:tcPr>
            <w:tcW w:type="dxa" w:w="6192"/>
            <w:shd w:fill="F2F4F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D9D9D9"/>
              <w:right w:val="none"/>
            </w:tcBorders>
          </w:tcPr>
          <w:p>
            <w:r>
              <w:rPr>
                <w:color w:val="262626"/>
                <w:sz w:val="19"/>
              </w:rPr>
              <w:t>Agent 3 — Backend Architecture Specialist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D9D9D9"/>
              <w:right w:val="none"/>
            </w:tcBorders>
          </w:tcPr>
          <w:p>
            <w:r>
              <w:rPr>
                <w:b/>
                <w:color w:val="1F497D"/>
                <w:sz w:val="19"/>
              </w:rPr>
              <w:t>Date of Publication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D9D9D9"/>
              <w:right w:val="none"/>
            </w:tcBorders>
          </w:tcPr>
          <w:p>
            <w:r>
              <w:rPr>
                <w:color w:val="262626"/>
                <w:sz w:val="19"/>
              </w:rPr>
              <w:t>October 27, 2026</w:t>
            </w:r>
          </w:p>
        </w:tc>
      </w:tr>
      <w:tr>
        <w:tc>
          <w:tcPr>
            <w:tcW w:type="dxa" w:w="3168"/>
            <w:shd w:fill="F2F4F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D9D9D9"/>
              <w:right w:val="none"/>
            </w:tcBorders>
          </w:tcPr>
          <w:p>
            <w:r>
              <w:rPr>
                <w:b/>
                <w:color w:val="1F497D"/>
                <w:sz w:val="19"/>
              </w:rPr>
              <w:t>Reverse Engineering Tool</w:t>
            </w:r>
          </w:p>
        </w:tc>
        <w:tc>
          <w:tcPr>
            <w:tcW w:type="dxa" w:w="6192"/>
            <w:shd w:fill="F2F4F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D9D9D9"/>
              <w:right w:val="none"/>
            </w:tcBorders>
          </w:tcPr>
          <w:p>
            <w:r>
              <w:rPr>
                <w:color w:val="262626"/>
                <w:sz w:val="19"/>
              </w:rPr>
              <w:t>REA 6.7.0 (Reverse Engineering Anything) + MCP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D9D9D9"/>
              <w:right w:val="none"/>
            </w:tcBorders>
          </w:tcPr>
          <w:p>
            <w:r>
              <w:rPr>
                <w:b/>
                <w:color w:val="1F497D"/>
                <w:sz w:val="19"/>
              </w:rPr>
              <w:t>Classification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D9D9D9"/>
              <w:right w:val="none"/>
            </w:tcBorders>
          </w:tcPr>
          <w:p>
            <w:r>
              <w:rPr>
                <w:color w:val="262626"/>
                <w:sz w:val="19"/>
              </w:rPr>
              <w:t>Confidential — Internal Engineering &amp; Architecture Manual</w:t>
            </w:r>
          </w:p>
        </w:tc>
      </w:tr>
    </w:tbl>
    <w:p>
      <w:r>
        <w:br w:type="page"/>
      </w:r>
    </w:p>
    <w:p>
      <w:pPr>
        <w:keepNext/>
        <w:spacing w:before="360" w:after="120"/>
      </w:pPr>
      <w:r>
        <w:rPr>
          <w:rFonts w:ascii="Calibri" w:hAnsi="Calibri"/>
          <w:b/>
          <w:color w:val="1F497D"/>
          <w:sz w:val="32"/>
        </w:rPr>
        <w:t>1.0 Backend Architectural Overview</w:t>
      </w:r>
    </w:p>
    <w:p>
      <w:r>
        <w:rPr>
          <w:rFonts w:ascii="Calibri" w:hAnsi="Calibri"/>
          <w:color w:val="262626"/>
          <w:sz w:val="21"/>
        </w:rPr>
        <w:t>The MarketIntel DB backend is developed with Django 6.1.1 and Django REST Framework 3.18.1. The server employs a layered architecture separating routing (urls.py), view controllers (views.py), business service modules (services/), data serialization (serializers.py), and relational database entities (models.py). Asynchronous background tasks such as bulk email campaign dispatching and WhatsApp message synchronization operate via background workers and systemd services.</w:t>
      </w:r>
    </w:p>
    <w:p>
      <w:pPr>
        <w:keepNext/>
        <w:spacing w:before="360" w:after="120"/>
      </w:pPr>
      <w:r>
        <w:rPr>
          <w:rFonts w:ascii="Calibri" w:hAnsi="Calibri"/>
          <w:b/>
          <w:color w:val="1F497D"/>
          <w:sz w:val="32"/>
        </w:rPr>
        <w:t>2.0 Request Lifecycle &amp; Middleware Pipeline</w:t>
      </w:r>
    </w:p>
    <w:p>
      <w:r>
        <w:rPr>
          <w:rFonts w:ascii="Calibri" w:hAnsi="Calibri"/>
          <w:color w:val="262626"/>
          <w:sz w:val="21"/>
        </w:rPr>
        <w:t>Every incoming HTTP request traverses Django's configured middleware stack in backend/config/settings.py: SecurityMiddleware -&gt; SessionMiddleware -&gt; CorsMiddleware -&gt; CommonMiddleware -&gt; CsrfViewMiddleware -&gt; AuthenticationMiddleware -&gt; MessageMiddleware -&gt; XFrameOptionsMiddleware.</w:t>
      </w:r>
    </w:p>
    <w:p>
      <w:r>
        <w:rPr>
          <w:rFonts w:ascii="Calibri" w:hAnsi="Calibri"/>
          <w:color w:val="262626"/>
          <w:sz w:val="21"/>
        </w:rPr>
        <w:t>Authentication is verified by djangorestframework-simplejwt using custom cookie token authentication (CookieJWTAuthentication), extracting tokens from HttpOnly cookies or Authorization Bearer headers. Role-based permissions are enforced by custom DRF permission classes before view dispatch.</w:t>
      </w:r>
    </w:p>
    <w:p>
      <w:pPr>
        <w:keepNext/>
        <w:spacing w:before="280" w:after="80"/>
      </w:pPr>
      <w:r>
        <w:rPr>
          <w:rFonts w:ascii="Calibri" w:hAnsi="Calibri"/>
          <w:b/>
          <w:color w:val="2E75B6"/>
          <w:sz w:val="26"/>
        </w:rPr>
        <w:t>2.1 Custom Permission Classes Directory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497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Permission Class Name</w:t>
            </w:r>
          </w:p>
        </w:tc>
        <w:tc>
          <w:tcPr>
            <w:tcW w:type="dxa" w:w="3120"/>
            <w:shd w:fill="1F497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Source Location</w:t>
            </w:r>
          </w:p>
        </w:tc>
        <w:tc>
          <w:tcPr>
            <w:tcW w:type="dxa" w:w="3120"/>
            <w:shd w:fill="1F497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Enforcement Logic &amp; Role Boundaries</w:t>
            </w:r>
          </w:p>
        </w:tc>
      </w:tr>
      <w:tr>
        <w:tc>
          <w:tcPr>
            <w:tcW w:type="dxa" w:w="312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IsPRERole</w:t>
            </w:r>
          </w:p>
        </w:tc>
        <w:tc>
          <w:tcPr>
            <w:tcW w:type="dxa" w:w="312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backend/accounts/permissions.py:L15</w:t>
            </w:r>
          </w:p>
        </w:tc>
        <w:tc>
          <w:tcPr>
            <w:tcW w:type="dxa" w:w="312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Allows access only if request.user.profile.role == 'PRE' or request.user.is_superuser. Denies LQ, Manager, DM.</w:t>
            </w:r>
          </w:p>
        </w:tc>
      </w:tr>
      <w:tr>
        <w:tc>
          <w:tcPr>
            <w:tcW w:type="dxa" w:w="312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IsLQRole</w:t>
            </w:r>
          </w:p>
        </w:tc>
        <w:tc>
          <w:tcPr>
            <w:tcW w:type="dxa" w:w="312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backend/accounts/permissions.py:L28</w:t>
            </w:r>
          </w:p>
        </w:tc>
        <w:tc>
          <w:tcPr>
            <w:tcW w:type="dxa" w:w="312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Allows access only if request.user.profile.role == 'LQ' or request.user.is_superuser. Denies PRE, DM.</w:t>
            </w:r>
          </w:p>
        </w:tc>
      </w:tr>
      <w:tr>
        <w:tc>
          <w:tcPr>
            <w:tcW w:type="dxa" w:w="312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IsManagerRole</w:t>
            </w:r>
          </w:p>
        </w:tc>
        <w:tc>
          <w:tcPr>
            <w:tcW w:type="dxa" w:w="312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backend/accounts/permissions.py:L41</w:t>
            </w:r>
          </w:p>
        </w:tc>
        <w:tc>
          <w:tcPr>
            <w:tcW w:type="dxa" w:w="312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Allows access only if request.user.profile.role == 'MANAGER' or request.user.is_superuser. Grants read-only audit capabilities.</w:t>
            </w:r>
          </w:p>
        </w:tc>
      </w:tr>
      <w:tr>
        <w:tc>
          <w:tcPr>
            <w:tcW w:type="dxa" w:w="312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IsDMRole</w:t>
            </w:r>
          </w:p>
        </w:tc>
        <w:tc>
          <w:tcPr>
            <w:tcW w:type="dxa" w:w="312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backend/accounts/permissions.py:L54</w:t>
            </w:r>
          </w:p>
        </w:tc>
        <w:tc>
          <w:tcPr>
            <w:tcW w:type="dxa" w:w="312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Allows access only if request.user.profile.role == 'DM' or request.user.is_superuser. Strictly isolates social media endpoints.</w:t>
            </w:r>
          </w:p>
        </w:tc>
      </w:tr>
      <w:tr>
        <w:tc>
          <w:tcPr>
            <w:tcW w:type="dxa" w:w="312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IsAdminUser</w:t>
            </w:r>
          </w:p>
        </w:tc>
        <w:tc>
          <w:tcPr>
            <w:tcW w:type="dxa" w:w="312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rest_framework.permissions</w:t>
            </w:r>
          </w:p>
        </w:tc>
        <w:tc>
          <w:tcPr>
            <w:tcW w:type="dxa" w:w="312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Built-in DRF permission requiring request.user.is_staff or is_superuser. Controls Swagger UI in production.</w:t>
            </w:r>
          </w:p>
        </w:tc>
      </w:tr>
    </w:tbl>
    <w:p>
      <w:pPr>
        <w:spacing w:after="120"/>
      </w:pPr>
    </w:p>
    <w:p>
      <w:pPr>
        <w:keepNext/>
        <w:spacing w:before="360" w:after="120"/>
      </w:pPr>
      <w:r>
        <w:rPr>
          <w:rFonts w:ascii="Calibri" w:hAnsi="Calibri"/>
          <w:b/>
          <w:color w:val="1F497D"/>
          <w:sz w:val="32"/>
        </w:rPr>
        <w:t>3.0 Service Layer Implementation</w:t>
      </w:r>
    </w:p>
    <w:p>
      <w:r>
        <w:rPr>
          <w:rFonts w:ascii="Calibri" w:hAnsi="Calibri"/>
          <w:color w:val="262626"/>
          <w:sz w:val="21"/>
        </w:rPr>
        <w:t>To prevent view controllers from bloating and maintain testability, complex business rules are implemented in dedicated service classes across backend applications:</w:t>
      </w:r>
    </w:p>
    <w:p>
      <w:r>
        <w:rPr>
          <w:rFonts w:ascii="Calibri" w:hAnsi="Calibri"/>
          <w:color w:val="262626"/>
          <w:sz w:val="21"/>
        </w:rPr>
        <w:t>• GmailOAuthService (backend/accounts/services/gmail_oauth_service.py): Handles Google OAuth2 token exchange, refresh token rotation, and Google API token revocation (revoke_tokens) during user disconnect.</w:t>
      </w:r>
    </w:p>
    <w:p>
      <w:r>
        <w:rPr>
          <w:rFonts w:ascii="Calibri" w:hAnsi="Calibri"/>
          <w:color w:val="262626"/>
          <w:sz w:val="21"/>
        </w:rPr>
        <w:t>• CampaignService (backend/prospects/campaign_service.py): Manages bulk email campaigns with a mandatory 90-second delay between sequential recipient dispatches, preventing email domain blacklisting and honoring worker crash recovery.</w:t>
      </w:r>
    </w:p>
    <w:p>
      <w:r>
        <w:rPr>
          <w:rFonts w:ascii="Calibri" w:hAnsi="Calibri"/>
          <w:color w:val="262626"/>
          <w:sz w:val="21"/>
        </w:rPr>
        <w:t>• GoogleMeetService (backend/prospects/services/google_meet_service.py): Connects to Google Calendar API v3 to create calendar events with automated Google Meet video conference provisioning and attendee invitation dispatch.</w:t>
      </w:r>
    </w:p>
    <w:p>
      <w:r>
        <w:rPr>
          <w:rFonts w:ascii="Calibri" w:hAnsi="Calibri"/>
          <w:color w:val="262626"/>
          <w:sz w:val="21"/>
        </w:rPr>
        <w:t>• ProspectMatchingService (backend/prospects/services/prospect_matching.py): Matches inbound emails and WhatsApp messages to CRM prospects and key people using case-insensitive RFC From header parsing and normalized phone digits.</w:t>
      </w:r>
    </w:p>
    <w:p>
      <w:r>
        <w:rPr>
          <w:rFonts w:ascii="Calibri" w:hAnsi="Calibri"/>
          <w:color w:val="262626"/>
          <w:sz w:val="21"/>
        </w:rPr>
        <w:t>• WhatsAppEngineService (backend/whatsapp/services/): Interfaces with the WAHA container over HTTP REST, managing QR pairing, outbound text/media dispatch, and incoming webhook signature validation.</w:t>
      </w:r>
    </w:p>
    <w:p>
      <w:pPr>
        <w:keepNext/>
        <w:spacing w:before="360" w:after="120"/>
      </w:pPr>
      <w:r>
        <w:rPr>
          <w:rFonts w:ascii="Calibri" w:hAnsi="Calibri"/>
          <w:b/>
          <w:color w:val="1F497D"/>
          <w:sz w:val="32"/>
        </w:rPr>
        <w:t>4.0 Database Models &amp; Signals Architecture</w:t>
      </w:r>
    </w:p>
    <w:p>
      <w:r>
        <w:rPr>
          <w:rFonts w:ascii="Calibri" w:hAnsi="Calibri"/>
          <w:color w:val="262626"/>
          <w:sz w:val="21"/>
        </w:rPr>
        <w:t>The application relies on post_save signals for automatic user profile creation: backend/accounts/models.py defines a receiver on django.contrib.auth.models.User that automatically provisions a UserProfile record whenever a new User instance is created.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12" w:space="0" w:color="1F497D"/>
              <w:bottom w:val="single" w:sz="4" w:space="0" w:color="E2E8F0"/>
              <w:right w:val="single" w:sz="4" w:space="0" w:color="E2E8F0"/>
            </w:tcBorders>
          </w:tcPr>
          <w:p>
            <w:pPr>
              <w:spacing w:line="252" w:lineRule="auto" w:after="0"/>
            </w:pPr>
            <w:r>
              <w:rPr>
                <w:rFonts w:ascii="Consolas" w:hAnsi="Consolas"/>
                <w:color w:val="0F172A"/>
                <w:sz w:val="18"/>
              </w:rPr>
              <w:t># backend/accounts/models.py</w:t>
              <w:br/>
              <w:t>@receiver(post_save, sender=User)</w:t>
              <w:br/>
              <w:t>def create_user_profile(sender, instance, created, **kwargs):</w:t>
              <w:br/>
              <w:t xml:space="preserve">    if created:</w:t>
              <w:br/>
              <w:t xml:space="preserve">        UserProfile.objects.create(user=instance)</w:t>
              <w:br/>
              <w:br/>
              <w:t>@receiver(post_save, sender=User)</w:t>
              <w:br/>
              <w:t>def save_user_profile(sender, instance, **kwargs):</w:t>
              <w:br/>
              <w:t xml:space="preserve">    if hasattr(instance, 'profile'):</w:t>
              <w:br/>
              <w:t xml:space="preserve">        instance.profile.save()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7FB"/>
            <w:tcMar>
              <w:top w:w="120" w:type="dxa"/>
              <w:bottom w:w="120" w:type="dxa"/>
              <w:left w:w="180" w:type="dxa"/>
              <w:right w:w="140" w:type="dxa"/>
            </w:tcMar>
            <w:tcBorders>
              <w:top w:val="none"/>
              <w:left w:val="single" w:sz="24" w:space="0" w:color="2E75B6"/>
              <w:bottom w:val="none"/>
              <w:right w:val="none"/>
            </w:tcBorders>
          </w:tcPr>
          <w:p>
            <w:pPr>
              <w:spacing w:after="80"/>
            </w:pPr>
            <w:r>
              <w:rPr>
                <w:rFonts w:ascii="Calibri" w:hAnsi="Calibri"/>
                <w:b/>
                <w:color w:val="2E75B6"/>
                <w:sz w:val="20"/>
              </w:rPr>
              <w:t>[IMPORTANT]  Signal Collision Prevention</w:t>
              <w:br/>
            </w:r>
            <w:r>
              <w:rPr>
                <w:rFonts w:ascii="Calibri" w:hAnsi="Calibri"/>
                <w:color w:val="323232"/>
                <w:sz w:val="19"/>
              </w:rPr>
              <w:t>In test suites (such as market_events/tests.py), developers must never call UserProfile.objects.create(user=user) directly after User.objects.create_user(), as this triggers a database UNIQUE constraint violation. Instead, reuse the auto-created profile via user.profile.role = role; user.profile.save().</w:t>
            </w:r>
          </w:p>
        </w:tc>
      </w:tr>
    </w:tbl>
    <w:p>
      <w:pPr>
        <w:spacing w:after="1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both"/>
    </w:pPr>
    <w:r>
      <w:rPr>
        <w:rFonts w:ascii="Calibri" w:hAnsi="Calibri"/>
        <w:color w:val="787878"/>
        <w:sz w:val="17"/>
      </w:rPr>
      <w:t>Confidential  |  Agent 3 — Backend Architecture Specialist  |  October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787878"/>
        <w:sz w:val="17"/>
      </w:rPr>
      <w:t>MarketIntel DB  |  DOC-02 — Backend Architecture and Implementation Manual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