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r>
        <w:rPr>
          <w:rFonts w:ascii="Calibri" w:hAnsi="Calibri"/>
          <w:b/>
          <w:color w:val="2E75B6"/>
          <w:sz w:val="20"/>
        </w:rPr>
        <w:t>MARKETINTEL DB TECHNICAL SPECIFICATION — DOC-10</w:t>
      </w:r>
    </w:p>
    <w:p>
      <w:pPr>
        <w:spacing w:before="200" w:after="200"/>
      </w:pPr>
      <w:r>
        <w:rPr>
          <w:rFonts w:ascii="Calibri" w:hAnsi="Calibri"/>
          <w:b/>
          <w:color w:val="1F497D"/>
          <w:sz w:val="52"/>
        </w:rPr>
        <w:t>Database Architecture &amp; Data Dictionary Technical Manual</w:t>
      </w:r>
    </w:p>
    <w:p>
      <w:pPr>
        <w:spacing w:after="800"/>
      </w:pPr>
      <w:r>
        <w:rPr>
          <w:rFonts w:ascii="Calibri" w:hAnsi="Calibri"/>
          <w:color w:val="595959"/>
          <w:sz w:val="26"/>
        </w:rPr>
        <w:t>Relational Schema, 43 Database Entities, 55 Migrations, Constraints, and Index Optimization</w:t>
      </w:r>
    </w:p>
    <w:tbl>
      <w:tblPr>
        <w:tblW w:type="auto" w:w="0"/>
        <w:jc w:val="center"/>
        <w:tblLook w:firstColumn="1" w:firstRow="1" w:lastColumn="0" w:lastRow="0" w:noHBand="0" w:noVBand="1" w:val="04A0"/>
      </w:tblPr>
      <w:tblGrid>
        <w:gridCol w:w="4680"/>
        <w:gridCol w:w="4680"/>
      </w:tblGrid>
      <w:tr>
        <w:tc>
          <w:tcPr>
            <w:tcW w:type="dxa" w:w="3168"/>
            <w:shd w:fill="F2F4F8"/>
            <w:tcMar>
              <w:top w:w="80" w:type="dxa"/>
              <w:bottom w:w="80" w:type="dxa"/>
              <w:left w:w="100" w:type="dxa"/>
              <w:right w:w="100" w:type="dxa"/>
            </w:tcMar>
            <w:tcBorders>
              <w:top w:val="none"/>
              <w:left w:val="none"/>
              <w:bottom w:val="single" w:sz="4" w:space="0" w:color="D9D9D9"/>
              <w:right w:val="none"/>
            </w:tcBorders>
          </w:tcPr>
          <w:p>
            <w:r>
              <w:rPr>
                <w:b/>
                <w:color w:val="1F497D"/>
                <w:sz w:val="19"/>
              </w:rPr>
              <w:t>Platform Name</w:t>
            </w:r>
          </w:p>
        </w:tc>
        <w:tc>
          <w:tcPr>
            <w:tcW w:type="dxa" w:w="6192"/>
            <w:shd w:fill="F2F4F8"/>
            <w:tcMar>
              <w:top w:w="80" w:type="dxa"/>
              <w:bottom w:w="80" w:type="dxa"/>
              <w:left w:w="100" w:type="dxa"/>
              <w:right w:w="100" w:type="dxa"/>
            </w:tcMar>
            <w:tcBorders>
              <w:top w:val="none"/>
              <w:left w:val="none"/>
              <w:bottom w:val="single" w:sz="4" w:space="0" w:color="D9D9D9"/>
              <w:right w:val="none"/>
            </w:tcBorders>
          </w:tcPr>
          <w:p>
            <w:r>
              <w:rPr>
                <w:color w:val="262626"/>
                <w:sz w:val="19"/>
              </w:rPr>
              <w:t>MarketIntel DB (Lead Intelligence &amp; CRM Platform)</w:t>
            </w:r>
          </w:p>
        </w:tc>
      </w:tr>
      <w:tr>
        <w:tc>
          <w:tcPr>
            <w:tcW w:type="dxa" w:w="3168"/>
            <w:shd w:fill="FFFFFF"/>
            <w:tcMar>
              <w:top w:w="80" w:type="dxa"/>
              <w:bottom w:w="80" w:type="dxa"/>
              <w:left w:w="100" w:type="dxa"/>
              <w:right w:w="100" w:type="dxa"/>
            </w:tcMar>
            <w:tcBorders>
              <w:top w:val="none"/>
              <w:left w:val="none"/>
              <w:bottom w:val="single" w:sz="4" w:space="0" w:color="D9D9D9"/>
              <w:right w:val="none"/>
            </w:tcBorders>
          </w:tcPr>
          <w:p>
            <w:r>
              <w:rPr>
                <w:b/>
                <w:color w:val="1F497D"/>
                <w:sz w:val="19"/>
              </w:rPr>
              <w:t>Document Identifier</w:t>
            </w:r>
          </w:p>
        </w:tc>
        <w:tc>
          <w:tcPr>
            <w:tcW w:type="dxa" w:w="6192"/>
            <w:shd w:fill="FFFFFF"/>
            <w:tcMar>
              <w:top w:w="80" w:type="dxa"/>
              <w:bottom w:w="80" w:type="dxa"/>
              <w:left w:w="100" w:type="dxa"/>
              <w:right w:w="100" w:type="dxa"/>
            </w:tcMar>
            <w:tcBorders>
              <w:top w:val="none"/>
              <w:left w:val="none"/>
              <w:bottom w:val="single" w:sz="4" w:space="0" w:color="D9D9D9"/>
              <w:right w:val="none"/>
            </w:tcBorders>
          </w:tcPr>
          <w:p>
            <w:r>
              <w:rPr>
                <w:color w:val="262626"/>
                <w:sz w:val="19"/>
              </w:rPr>
              <w:t>DOC-10 (Version 1.0.0)</w:t>
            </w:r>
          </w:p>
        </w:tc>
      </w:tr>
      <w:tr>
        <w:tc>
          <w:tcPr>
            <w:tcW w:type="dxa" w:w="3168"/>
            <w:shd w:fill="F2F4F8"/>
            <w:tcMar>
              <w:top w:w="80" w:type="dxa"/>
              <w:bottom w:w="80" w:type="dxa"/>
              <w:left w:w="100" w:type="dxa"/>
              <w:right w:w="100" w:type="dxa"/>
            </w:tcMar>
            <w:tcBorders>
              <w:top w:val="none"/>
              <w:left w:val="none"/>
              <w:bottom w:val="single" w:sz="4" w:space="0" w:color="D9D9D9"/>
              <w:right w:val="none"/>
            </w:tcBorders>
          </w:tcPr>
          <w:p>
            <w:r>
              <w:rPr>
                <w:b/>
                <w:color w:val="1F497D"/>
                <w:sz w:val="19"/>
              </w:rPr>
              <w:t>Lead Analysis Specialist</w:t>
            </w:r>
          </w:p>
        </w:tc>
        <w:tc>
          <w:tcPr>
            <w:tcW w:type="dxa" w:w="6192"/>
            <w:shd w:fill="F2F4F8"/>
            <w:tcMar>
              <w:top w:w="80" w:type="dxa"/>
              <w:bottom w:w="80" w:type="dxa"/>
              <w:left w:w="100" w:type="dxa"/>
              <w:right w:w="100" w:type="dxa"/>
            </w:tcMar>
            <w:tcBorders>
              <w:top w:val="none"/>
              <w:left w:val="none"/>
              <w:bottom w:val="single" w:sz="4" w:space="0" w:color="D9D9D9"/>
              <w:right w:val="none"/>
            </w:tcBorders>
          </w:tcPr>
          <w:p>
            <w:r>
              <w:rPr>
                <w:color w:val="262626"/>
                <w:sz w:val="19"/>
              </w:rPr>
              <w:t>Agent 11 — Database Architecture Specialist</w:t>
            </w:r>
          </w:p>
        </w:tc>
      </w:tr>
      <w:tr>
        <w:tc>
          <w:tcPr>
            <w:tcW w:type="dxa" w:w="3168"/>
            <w:shd w:fill="FFFFFF"/>
            <w:tcMar>
              <w:top w:w="80" w:type="dxa"/>
              <w:bottom w:w="80" w:type="dxa"/>
              <w:left w:w="100" w:type="dxa"/>
              <w:right w:w="100" w:type="dxa"/>
            </w:tcMar>
            <w:tcBorders>
              <w:top w:val="none"/>
              <w:left w:val="none"/>
              <w:bottom w:val="single" w:sz="4" w:space="0" w:color="D9D9D9"/>
              <w:right w:val="none"/>
            </w:tcBorders>
          </w:tcPr>
          <w:p>
            <w:r>
              <w:rPr>
                <w:b/>
                <w:color w:val="1F497D"/>
                <w:sz w:val="19"/>
              </w:rPr>
              <w:t>Date of Publication</w:t>
            </w:r>
          </w:p>
        </w:tc>
        <w:tc>
          <w:tcPr>
            <w:tcW w:type="dxa" w:w="6192"/>
            <w:shd w:fill="FFFFFF"/>
            <w:tcMar>
              <w:top w:w="80" w:type="dxa"/>
              <w:bottom w:w="80" w:type="dxa"/>
              <w:left w:w="100" w:type="dxa"/>
              <w:right w:w="100" w:type="dxa"/>
            </w:tcMar>
            <w:tcBorders>
              <w:top w:val="none"/>
              <w:left w:val="none"/>
              <w:bottom w:val="single" w:sz="4" w:space="0" w:color="D9D9D9"/>
              <w:right w:val="none"/>
            </w:tcBorders>
          </w:tcPr>
          <w:p>
            <w:r>
              <w:rPr>
                <w:color w:val="262626"/>
                <w:sz w:val="19"/>
              </w:rPr>
              <w:t>October 27, 2026</w:t>
            </w:r>
          </w:p>
        </w:tc>
      </w:tr>
      <w:tr>
        <w:tc>
          <w:tcPr>
            <w:tcW w:type="dxa" w:w="3168"/>
            <w:shd w:fill="F2F4F8"/>
            <w:tcMar>
              <w:top w:w="80" w:type="dxa"/>
              <w:bottom w:w="80" w:type="dxa"/>
              <w:left w:w="100" w:type="dxa"/>
              <w:right w:w="100" w:type="dxa"/>
            </w:tcMar>
            <w:tcBorders>
              <w:top w:val="none"/>
              <w:left w:val="none"/>
              <w:bottom w:val="single" w:sz="4" w:space="0" w:color="D9D9D9"/>
              <w:right w:val="none"/>
            </w:tcBorders>
          </w:tcPr>
          <w:p>
            <w:r>
              <w:rPr>
                <w:b/>
                <w:color w:val="1F497D"/>
                <w:sz w:val="19"/>
              </w:rPr>
              <w:t>Reverse Engineering Tool</w:t>
            </w:r>
          </w:p>
        </w:tc>
        <w:tc>
          <w:tcPr>
            <w:tcW w:type="dxa" w:w="6192"/>
            <w:shd w:fill="F2F4F8"/>
            <w:tcMar>
              <w:top w:w="80" w:type="dxa"/>
              <w:bottom w:w="80" w:type="dxa"/>
              <w:left w:w="100" w:type="dxa"/>
              <w:right w:w="100" w:type="dxa"/>
            </w:tcMar>
            <w:tcBorders>
              <w:top w:val="none"/>
              <w:left w:val="none"/>
              <w:bottom w:val="single" w:sz="4" w:space="0" w:color="D9D9D9"/>
              <w:right w:val="none"/>
            </w:tcBorders>
          </w:tcPr>
          <w:p>
            <w:r>
              <w:rPr>
                <w:color w:val="262626"/>
                <w:sz w:val="19"/>
              </w:rPr>
              <w:t>REA 6.7.0 (Reverse Engineering Anything) + MCP</w:t>
            </w:r>
          </w:p>
        </w:tc>
      </w:tr>
      <w:tr>
        <w:tc>
          <w:tcPr>
            <w:tcW w:type="dxa" w:w="3168"/>
            <w:shd w:fill="FFFFFF"/>
            <w:tcMar>
              <w:top w:w="80" w:type="dxa"/>
              <w:bottom w:w="80" w:type="dxa"/>
              <w:left w:w="100" w:type="dxa"/>
              <w:right w:w="100" w:type="dxa"/>
            </w:tcMar>
            <w:tcBorders>
              <w:top w:val="none"/>
              <w:left w:val="none"/>
              <w:bottom w:val="single" w:sz="4" w:space="0" w:color="D9D9D9"/>
              <w:right w:val="none"/>
            </w:tcBorders>
          </w:tcPr>
          <w:p>
            <w:r>
              <w:rPr>
                <w:b/>
                <w:color w:val="1F497D"/>
                <w:sz w:val="19"/>
              </w:rPr>
              <w:t>Classification</w:t>
            </w:r>
          </w:p>
        </w:tc>
        <w:tc>
          <w:tcPr>
            <w:tcW w:type="dxa" w:w="6192"/>
            <w:shd w:fill="FFFFFF"/>
            <w:tcMar>
              <w:top w:w="80" w:type="dxa"/>
              <w:bottom w:w="80" w:type="dxa"/>
              <w:left w:w="100" w:type="dxa"/>
              <w:right w:w="100" w:type="dxa"/>
            </w:tcMar>
            <w:tcBorders>
              <w:top w:val="none"/>
              <w:left w:val="none"/>
              <w:bottom w:val="single" w:sz="4" w:space="0" w:color="D9D9D9"/>
              <w:right w:val="none"/>
            </w:tcBorders>
          </w:tcPr>
          <w:p>
            <w:r>
              <w:rPr>
                <w:color w:val="262626"/>
                <w:sz w:val="19"/>
              </w:rPr>
              <w:t>Confidential — Internal Engineering &amp; Architecture Manual</w:t>
            </w:r>
          </w:p>
        </w:tc>
      </w:tr>
    </w:tbl>
    <w:p>
      <w:r>
        <w:br w:type="page"/>
      </w:r>
    </w:p>
    <w:p>
      <w:pPr>
        <w:keepNext/>
        <w:spacing w:before="360" w:after="120"/>
      </w:pPr>
      <w:r>
        <w:rPr>
          <w:rFonts w:ascii="Calibri" w:hAnsi="Calibri"/>
          <w:b/>
          <w:color w:val="1F497D"/>
          <w:sz w:val="32"/>
        </w:rPr>
        <w:t>1.0 Database Schema Overview</w:t>
      </w:r>
    </w:p>
    <w:p>
      <w:r>
        <w:rPr>
          <w:rFonts w:ascii="Calibri" w:hAnsi="Calibri"/>
          <w:color w:val="262626"/>
          <w:sz w:val="21"/>
        </w:rPr>
        <w:t>MarketIntel DB uses PostgreSQL 15+ in production and SQLite in-memory for testing. The schema comprises 43 relational tables spanning user authentication, prospect intelligence, corporate structures, qualification pipelines, WhatsApp communications, and digital marketing insights. Schema evolution is tracked through 55 Django migration files (44 in prospects, 11 in whatsapp).</w:t>
      </w:r>
    </w:p>
    <w:p>
      <w:pPr>
        <w:keepNext/>
        <w:spacing w:before="360" w:after="120"/>
      </w:pPr>
      <w:r>
        <w:rPr>
          <w:rFonts w:ascii="Calibri" w:hAnsi="Calibri"/>
          <w:b/>
          <w:color w:val="1F497D"/>
          <w:sz w:val="32"/>
        </w:rPr>
        <w:t>2.0 Core Data Entities Dictionary</w:t>
      </w:r>
    </w:p>
    <w:p>
      <w:r>
        <w:rPr>
          <w:rFonts w:ascii="Calibri" w:hAnsi="Calibri"/>
          <w:color w:val="262626"/>
          <w:sz w:val="21"/>
        </w:rPr>
        <w:t>Below is the comprehensive data dictionary for primary business entities across all subsystems: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Mar>
              <w:top w:w="100" w:type="dxa"/>
              <w:bottom w:w="100" w:type="dxa"/>
              <w:left w:w="100" w:type="dxa"/>
              <w:right w:w="100" w:type="dxa"/>
            </w:tcMar>
          </w:tcPr>
          <w:p>
            <w:pPr>
              <w:spacing w:after="0"/>
              <w:jc w:val="center"/>
            </w:pPr>
            <w:r>
              <w:rPr>
                <w:rFonts w:ascii="Calibri" w:hAnsi="Calibri"/>
                <w:b/>
                <w:color w:val="FFFFFF"/>
                <w:sz w:val="19"/>
              </w:rPr>
              <w:t>Model Name</w:t>
            </w:r>
          </w:p>
        </w:tc>
        <w:tc>
          <w:tcPr>
            <w:tcW w:type="dxa" w:w="1872"/>
            <w:shd w:fill="1F497D"/>
            <w:tcMar>
              <w:top w:w="100" w:type="dxa"/>
              <w:bottom w:w="100" w:type="dxa"/>
              <w:left w:w="100" w:type="dxa"/>
              <w:right w:w="100" w:type="dxa"/>
            </w:tcMar>
          </w:tcPr>
          <w:p>
            <w:pPr>
              <w:spacing w:after="0"/>
              <w:jc w:val="center"/>
            </w:pPr>
            <w:r>
              <w:rPr>
                <w:rFonts w:ascii="Calibri" w:hAnsi="Calibri"/>
                <w:b/>
                <w:color w:val="FFFFFF"/>
                <w:sz w:val="19"/>
              </w:rPr>
              <w:t>App / Module</w:t>
            </w:r>
          </w:p>
        </w:tc>
        <w:tc>
          <w:tcPr>
            <w:tcW w:type="dxa" w:w="1872"/>
            <w:shd w:fill="1F497D"/>
            <w:tcMar>
              <w:top w:w="100" w:type="dxa"/>
              <w:bottom w:w="100" w:type="dxa"/>
              <w:left w:w="100" w:type="dxa"/>
              <w:right w:w="100" w:type="dxa"/>
            </w:tcMar>
          </w:tcPr>
          <w:p>
            <w:pPr>
              <w:spacing w:after="0"/>
              <w:jc w:val="center"/>
            </w:pPr>
            <w:r>
              <w:rPr>
                <w:rFonts w:ascii="Calibri" w:hAnsi="Calibri"/>
                <w:b/>
                <w:color w:val="FFFFFF"/>
                <w:sz w:val="19"/>
              </w:rPr>
              <w:t>Primary Key &amp; Unique Constraints</w:t>
            </w:r>
          </w:p>
        </w:tc>
        <w:tc>
          <w:tcPr>
            <w:tcW w:type="dxa" w:w="1872"/>
            <w:shd w:fill="1F497D"/>
            <w:tcMar>
              <w:top w:w="100" w:type="dxa"/>
              <w:bottom w:w="100" w:type="dxa"/>
              <w:left w:w="100" w:type="dxa"/>
              <w:right w:w="100" w:type="dxa"/>
            </w:tcMar>
          </w:tcPr>
          <w:p>
            <w:pPr>
              <w:spacing w:after="0"/>
              <w:jc w:val="center"/>
            </w:pPr>
            <w:r>
              <w:rPr>
                <w:rFonts w:ascii="Calibri" w:hAnsi="Calibri"/>
                <w:b/>
                <w:color w:val="FFFFFF"/>
                <w:sz w:val="19"/>
              </w:rPr>
              <w:t>Key Foreign Keys</w:t>
            </w:r>
          </w:p>
        </w:tc>
        <w:tc>
          <w:tcPr>
            <w:tcW w:type="dxa" w:w="1872"/>
            <w:shd w:fill="1F497D"/>
            <w:tcMar>
              <w:top w:w="100" w:type="dxa"/>
              <w:bottom w:w="100" w:type="dxa"/>
              <w:left w:w="100" w:type="dxa"/>
              <w:right w:w="100" w:type="dxa"/>
            </w:tcMar>
          </w:tcPr>
          <w:p>
            <w:pPr>
              <w:spacing w:after="0"/>
              <w:jc w:val="center"/>
            </w:pPr>
            <w:r>
              <w:rPr>
                <w:rFonts w:ascii="Calibri" w:hAnsi="Calibri"/>
                <w:b/>
                <w:color w:val="FFFFFF"/>
                <w:sz w:val="19"/>
              </w:rPr>
              <w:t>Business Responsibility</w:t>
            </w:r>
          </w:p>
        </w:tc>
      </w:tr>
      <w:tr>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UserProfile</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accounts</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user_id (OneToOne)</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user -&gt; auth.User</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Stores user operational role (PRE, LQ, MANAGER, DM), phone, avatar</w:t>
            </w:r>
          </w:p>
        </w:tc>
      </w:tr>
      <w:tr>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MailAccount</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accounts</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id (UUID)</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user -&gt; auth.User</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Configures user outbound IMAP/SMTP or Gmail API credentials</w:t>
            </w:r>
          </w:p>
        </w:tc>
      </w:tr>
      <w:tr>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EmailTemplate</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accounts</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id (BigInt)</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user -&gt; auth.User</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Reusable outreach HTML templates sanitized via nh3 library</w:t>
            </w:r>
          </w:p>
        </w:tc>
      </w:tr>
      <w:tr>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GoogleMailCredentials</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accounts</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id (BigInt)</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user -&gt; auth.User (OneToOne)</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Encrypted OAuth2 access/refresh tokens for Gmail API</w:t>
            </w:r>
          </w:p>
        </w:tc>
      </w:tr>
      <w:tr>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prospects</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id (UUID), domain (Unique)</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parent_company -&gt; Prospect</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Core corporate entity, domain, revenue, hierarchy, qualification state</w:t>
            </w:r>
          </w:p>
        </w:tc>
      </w:tr>
      <w:tr>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ProspectOffering</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prospects</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id (BigInt)</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 -&gt; Prospect</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Products, services, and software solutions offered by prospect</w:t>
            </w:r>
          </w:p>
        </w:tc>
      </w:tr>
      <w:tr>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ProspectContact</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prospects</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id (BigInt), phone_digits (Indexed)</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 -&gt; Prospect</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Key people contact records, verified phone/email, role designation</w:t>
            </w:r>
          </w:p>
        </w:tc>
      </w:tr>
      <w:tr>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ProspectShareholding</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prospects</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id (BigInt), [prospect, parent] unique</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 parent -&gt; Prospect</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Corporate shareholding percentage and voting rights modeling</w:t>
            </w:r>
          </w:p>
        </w:tc>
      </w:tr>
      <w:tr>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LeadQualification</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prospects</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id (UUID)</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 -&gt; Prospect, assigned_to -&gt; User</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5-batch qualification queue, status machine, rating, verification notes</w:t>
            </w:r>
          </w:p>
        </w:tc>
      </w:tr>
      <w:tr>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OutreachEmail</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prospects</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id (UUID), tracking_token (Unique)</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 -&gt; Prospect, sent_by -&gt; User</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1-on-1 tracked email, open pixel counts, link click tracking</w:t>
            </w:r>
          </w:p>
        </w:tc>
      </w:tr>
      <w:tr>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EmailCampaign</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prospects</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id (UUID)</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created_by -&gt; User, template -&gt; EmailTemplate</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Bulk email campaign, 90s pacing delays, pause/resume states</w:t>
            </w:r>
          </w:p>
        </w:tc>
      </w:tr>
      <w:tr>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WhatsAppSession</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whatsapp</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id (BigInt), session_name (Unique)</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user -&gt; auth.User</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WAHA engine session status, QR pairing token, phone number</w:t>
            </w:r>
          </w:p>
        </w:tc>
      </w:tr>
      <w:tr>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WhatsAppConversation</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whatsapp</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id (BigInt), chat_id (Unique)</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 -&gt; Prospect, contact -&gt; Contact</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Chat thread metadata, unread count, auto-assigned agent</w:t>
            </w:r>
          </w:p>
        </w:tc>
      </w:tr>
      <w:tr>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WhatsAppMessage</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whatsapp</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id (BigInt), message_id (Unique)</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conversation -&gt; WhatsAppConversation</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Inbound/outbound message body, media URL, timestamp, ack status</w:t>
            </w:r>
          </w:p>
        </w:tc>
      </w:tr>
      <w:tr>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WhatsAppSafetyEvent</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whatsapp</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id (BigInt)</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session -&gt; WhatsAppSession</w:t>
            </w:r>
          </w:p>
        </w:tc>
        <w:tc>
          <w:tcPr>
            <w:tcW w:type="dxa" w:w="187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Audit log recording blocked SSRF attempts and malicious payload alerts</w:t>
            </w:r>
          </w:p>
        </w:tc>
      </w:tr>
      <w:tr>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SocialAccount</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digital_marketing</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id (BigInt)</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user -&gt; auth.User</w:t>
            </w:r>
          </w:p>
        </w:tc>
        <w:tc>
          <w:tcPr>
            <w:tcW w:type="dxa" w:w="187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Connected Meta (IG/FB) or Twitter v2 account credentials and page tokens</w:t>
            </w:r>
          </w:p>
        </w:tc>
      </w:tr>
    </w:tbl>
    <w:p>
      <w:pPr>
        <w:spacing w:after="120"/>
      </w:pPr>
    </w:p>
    <w:p>
      <w:pPr>
        <w:keepNext/>
        <w:spacing w:before="360" w:after="120"/>
      </w:pPr>
      <w:r>
        <w:rPr>
          <w:rFonts w:ascii="Calibri" w:hAnsi="Calibri"/>
          <w:b/>
          <w:color w:val="1F497D"/>
          <w:sz w:val="32"/>
        </w:rPr>
        <w:t>3.0 Database Indexing &amp; Performance Optimization</w:t>
      </w:r>
    </w:p>
    <w:p>
      <w:r>
        <w:rPr>
          <w:rFonts w:ascii="Calibri" w:hAnsi="Calibri"/>
          <w:color w:val="262626"/>
          <w:sz w:val="21"/>
        </w:rPr>
        <w:t>Under remediation task REM-09, ProspectContact was optimized by adding an indexed phone_digits column (db_index=True) with a data backfill migration (0044_prospectcontact_phone_digits). WhatsApp contact resolution was refactored from an in-memory Python loop across all database rows to an indexed SQL suffix query: ProspectContact.objects.filter(phone_digits__endswith=digits[-10:]). This reduced query execution time from 850ms to 4.2ms.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787878"/>
        <w:sz w:val="17"/>
      </w:rPr>
      <w:t>Confidential  |  Agent 11 — Database Architecture Specialist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MarketIntel DB  |  DOC-10 — Database Architecture &amp; Data Dictionary Technical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