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r>
        <w:rPr>
          <w:rFonts w:ascii="Calibri" w:hAnsi="Calibri"/>
          <w:b/>
          <w:color w:val="2E75B6"/>
          <w:sz w:val="20"/>
        </w:rPr>
        <w:t>MARKETINTEL DB TECHNICAL SPECIFICATION — DOC-13</w:t>
      </w:r>
    </w:p>
    <w:p>
      <w:pPr>
        <w:spacing w:before="200" w:after="200"/>
      </w:pPr>
      <w:r>
        <w:rPr>
          <w:rFonts w:ascii="Calibri" w:hAnsi="Calibri"/>
          <w:b/>
          <w:color w:val="1F497D"/>
          <w:sz w:val="52"/>
        </w:rPr>
        <w:t>Technology Stack &amp; Architectural Design Decisions</w:t>
      </w:r>
    </w:p>
    <w:p>
      <w:pPr>
        <w:spacing w:after="800"/>
      </w:pPr>
      <w:r>
        <w:rPr>
          <w:rFonts w:ascii="Calibri" w:hAnsi="Calibri"/>
          <w:color w:val="595959"/>
          <w:sz w:val="26"/>
        </w:rPr>
        <w:t>Framework Justifications, Dependency Rationale, Trade-Off Analyses, and Architecture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Platform Name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MarketIntel DB (Lead Intelligence &amp; CRM Platform)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Document Identifier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DOC-13 (Version 1.0.0)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Lead Analysis Specialist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Agent 13 — Lead Architect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Date of Publication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October 27, 2026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Reverse Engineering Tool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REA 6.7.0 (Reverse Engineering Anything) + MCP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Confidential — Internal Engineering &amp; Architecture Manual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1.0 Technology Stack Inventory</w:t>
      </w:r>
    </w:p>
    <w:p>
      <w:r>
        <w:rPr>
          <w:rFonts w:ascii="Calibri" w:hAnsi="Calibri"/>
          <w:color w:val="262626"/>
          <w:sz w:val="21"/>
        </w:rPr>
        <w:t>Every significant dependency across the frontend, backend, security, testing, and infrastructure stack was verified from repository configuration manifests (package.json, requirements.txt, Dockerfile).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Package / Tool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Configured Version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Usage Layer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Purpose &amp; Rationale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Django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6.1.1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 Core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High-velocity web framework providing ORM, migrations, user auth, and CSRF protection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Django REST Framework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3.18.1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Backend API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Standardized RESTful serialization, permission classes, viewsets, and HTTP status codes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djangorestframework-simplejwt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5.5.1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Authentication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Stateless JWT token issuance, refresh token rotation, and blacklisting in HttpOnly cookies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psycopg / psycopg2-binary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3.3.5 / 2.9.13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Database Adapter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High-performance PostgreSQL driver supporting RDS and Supabase transaction poolers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drf-spectacular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0.30.0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OpenAPI Documentation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Automated OpenAPI 3.0 schema generation with Swagger UI and Redoc interactive consoles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nh3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0.3.7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Security / Sanitization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Rust-based ultra-fast HTML sanitizer preventing XSS and CSS exfiltration in email templates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boto3 / django-storages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1.35.99 / 1.14.4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Object Storage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Seamless file upload adapter storing avatars and email attachments in AWS S3 or Cloudflare R2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React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19.2.8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Frontend Core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Declarative UI component library with concurrent rendering and modern hook primitives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Vite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8.3.0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Frontend Bundler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Lightning-fast ESM development server and Rollup-based production tree-shaking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Redux Toolkit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2.12.0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State Management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Predictable global application state governing auth sessions, user profile, and cached CRM rows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TailwindCSS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4.3.3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UI Styling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Utility-first CSS engine enabling responsive, high-contrast accessible CRM layouts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Lucide React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0.575.0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UI Iconography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Clean, feather-based SVG icons representing CRM tools, badges, actions, and status indicators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Axios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1.7.4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HTTP Client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Promise-based HTTP client with request/response interceptors for automatic cookie JWT refresh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2.0 Architectural Design Decisions (ADRs)</w:t>
      </w:r>
    </w:p>
    <w:p>
      <w:r>
        <w:rPr>
          <w:rFonts w:ascii="Calibri" w:hAnsi="Calibri"/>
          <w:color w:val="262626"/>
          <w:sz w:val="21"/>
        </w:rPr>
        <w:t>2.1 ADR-01: HttpOnly Cookie JWT vs LocalStorage: The team selected HttpOnly SameSite=None cookies over browser LocalStorage to store JWT access and refresh tokens. This decision prevents Cross-Site Scripting (XSS) attacks from accessing user authentication tokens, while enabling secure cross-origin communication between Amplify and EC2.</w:t>
      </w:r>
    </w:p>
    <w:p>
      <w:r>
        <w:rPr>
          <w:rFonts w:ascii="Calibri" w:hAnsi="Calibri"/>
          <w:color w:val="262626"/>
          <w:sz w:val="21"/>
        </w:rPr>
        <w:t>2.2 ADR-02: Sequential 5-Prospect LQ Pipeline Batching: Rather than allowing Lead Qualifiers to browse and Cherry-Pick the entire prospect database, the system enforces sequential batching of 5 prospects. This architectural choice prevents lead hoarding, ensures neglected accounts are worked systematically, and maintains high turnaround velocity.</w:t>
      </w:r>
    </w:p>
    <w:p>
      <w:r>
        <w:rPr>
          <w:rFonts w:ascii="Calibri" w:hAnsi="Calibri"/>
          <w:color w:val="262626"/>
          <w:sz w:val="21"/>
        </w:rPr>
        <w:t>2.3 ADR-03: Mandatory 90-Second Campaign Pacing: Bulk outreach emails cannot be dispatched instantaneously. CampaignService enforces a 90-second sequential delay between recipients. This prevents sender domain reputation degradation, avoids Gmail API rate limits, and bypasses spam filter heuristics.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787878"/>
        <w:sz w:val="17"/>
      </w:rPr>
      <w:t>Confidential  |  Agent 13 — Lead Architect  | 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MarketIntel DB  |  DOC-13 — Technology Stack &amp; Architectural Design Decisions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