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r>
        <w:rPr>
          <w:rFonts w:ascii="Calibri" w:hAnsi="Calibri"/>
          <w:b/>
          <w:color w:val="2E75B6"/>
          <w:sz w:val="20"/>
        </w:rPr>
        <w:t>MARKETINTEL DB TECHNICAL SPECIFICATION — DOC-15</w:t>
      </w:r>
    </w:p>
    <w:p>
      <w:pPr>
        <w:spacing w:before="200" w:after="200"/>
      </w:pPr>
      <w:r>
        <w:rPr>
          <w:rFonts w:ascii="Calibri" w:hAnsi="Calibri"/>
          <w:b/>
          <w:color w:val="1F497D"/>
          <w:sz w:val="52"/>
        </w:rPr>
        <w:t>Documentation Gaps, Limitations, and Technical Debt Register</w:t>
      </w:r>
    </w:p>
    <w:p>
      <w:pPr>
        <w:spacing w:after="800"/>
      </w:pPr>
      <w:r>
        <w:rPr>
          <w:rFonts w:ascii="Calibri" w:hAnsi="Calibri"/>
          <w:color w:val="595959"/>
          <w:sz w:val="26"/>
        </w:rPr>
        <w:t>Explicit Identification of Unverified Features, Tooling Limitations, and Testing Deficits</w:t>
      </w:r>
    </w:p>
    <w:tbl>
      <w:tblPr>
        <w:tblW w:type="auto" w:w="0"/>
        <w:jc w:val="center"/>
        <w:tblLook w:firstColumn="1" w:firstRow="1" w:lastColumn="0" w:lastRow="0" w:noHBand="0" w:noVBand="1" w:val="04A0"/>
      </w:tblPr>
      <w:tblGrid>
        <w:gridCol w:w="4680"/>
        <w:gridCol w:w="4680"/>
      </w:tblGrid>
      <w:tr>
        <w:tc>
          <w:tcPr>
            <w:tcW w:type="dxa" w:w="3168"/>
            <w:shd w:fill="F2F4F8"/>
            <w:tcMar>
              <w:top w:w="80" w:type="dxa"/>
              <w:bottom w:w="80" w:type="dxa"/>
              <w:left w:w="100" w:type="dxa"/>
              <w:right w:w="100" w:type="dxa"/>
            </w:tcMar>
            <w:tcBorders>
              <w:top w:val="none"/>
              <w:left w:val="none"/>
              <w:bottom w:val="single" w:sz="4" w:space="0" w:color="D9D9D9"/>
              <w:right w:val="none"/>
            </w:tcBorders>
          </w:tcPr>
          <w:p>
            <w:r>
              <w:rPr>
                <w:b/>
                <w:color w:val="1F497D"/>
                <w:sz w:val="19"/>
              </w:rPr>
              <w:t>Platform Name</w:t>
            </w:r>
          </w:p>
        </w:tc>
        <w:tc>
          <w:tcPr>
            <w:tcW w:type="dxa" w:w="6192"/>
            <w:shd w:fill="F2F4F8"/>
            <w:tcMar>
              <w:top w:w="80" w:type="dxa"/>
              <w:bottom w:w="80" w:type="dxa"/>
              <w:left w:w="100" w:type="dxa"/>
              <w:right w:w="100" w:type="dxa"/>
            </w:tcMar>
            <w:tcBorders>
              <w:top w:val="none"/>
              <w:left w:val="none"/>
              <w:bottom w:val="single" w:sz="4" w:space="0" w:color="D9D9D9"/>
              <w:right w:val="none"/>
            </w:tcBorders>
          </w:tcPr>
          <w:p>
            <w:r>
              <w:rPr>
                <w:color w:val="262626"/>
                <w:sz w:val="19"/>
              </w:rPr>
              <w:t>MarketIntel DB (Lead Intelligence &amp; CRM Platform)</w:t>
            </w:r>
          </w:p>
        </w:tc>
      </w:tr>
      <w:tr>
        <w:tc>
          <w:tcPr>
            <w:tcW w:type="dxa" w:w="3168"/>
            <w:shd w:fill="FFFFFF"/>
            <w:tcMar>
              <w:top w:w="80" w:type="dxa"/>
              <w:bottom w:w="80" w:type="dxa"/>
              <w:left w:w="100" w:type="dxa"/>
              <w:right w:w="100" w:type="dxa"/>
            </w:tcMar>
            <w:tcBorders>
              <w:top w:val="none"/>
              <w:left w:val="none"/>
              <w:bottom w:val="single" w:sz="4" w:space="0" w:color="D9D9D9"/>
              <w:right w:val="none"/>
            </w:tcBorders>
          </w:tcPr>
          <w:p>
            <w:r>
              <w:rPr>
                <w:b/>
                <w:color w:val="1F497D"/>
                <w:sz w:val="19"/>
              </w:rPr>
              <w:t>Document Identifier</w:t>
            </w:r>
          </w:p>
        </w:tc>
        <w:tc>
          <w:tcPr>
            <w:tcW w:type="dxa" w:w="6192"/>
            <w:shd w:fill="FFFFFF"/>
            <w:tcMar>
              <w:top w:w="80" w:type="dxa"/>
              <w:bottom w:w="80" w:type="dxa"/>
              <w:left w:w="100" w:type="dxa"/>
              <w:right w:w="100" w:type="dxa"/>
            </w:tcMar>
            <w:tcBorders>
              <w:top w:val="none"/>
              <w:left w:val="none"/>
              <w:bottom w:val="single" w:sz="4" w:space="0" w:color="D9D9D9"/>
              <w:right w:val="none"/>
            </w:tcBorders>
          </w:tcPr>
          <w:p>
            <w:r>
              <w:rPr>
                <w:color w:val="262626"/>
                <w:sz w:val="19"/>
              </w:rPr>
              <w:t>DOC-15 (Version 1.0.0)</w:t>
            </w:r>
          </w:p>
        </w:tc>
      </w:tr>
      <w:tr>
        <w:tc>
          <w:tcPr>
            <w:tcW w:type="dxa" w:w="3168"/>
            <w:shd w:fill="F2F4F8"/>
            <w:tcMar>
              <w:top w:w="80" w:type="dxa"/>
              <w:bottom w:w="80" w:type="dxa"/>
              <w:left w:w="100" w:type="dxa"/>
              <w:right w:w="100" w:type="dxa"/>
            </w:tcMar>
            <w:tcBorders>
              <w:top w:val="none"/>
              <w:left w:val="none"/>
              <w:bottom w:val="single" w:sz="4" w:space="0" w:color="D9D9D9"/>
              <w:right w:val="none"/>
            </w:tcBorders>
          </w:tcPr>
          <w:p>
            <w:r>
              <w:rPr>
                <w:b/>
                <w:color w:val="1F497D"/>
                <w:sz w:val="19"/>
              </w:rPr>
              <w:t>Lead Analysis Specialist</w:t>
            </w:r>
          </w:p>
        </w:tc>
        <w:tc>
          <w:tcPr>
            <w:tcW w:type="dxa" w:w="6192"/>
            <w:shd w:fill="F2F4F8"/>
            <w:tcMar>
              <w:top w:w="80" w:type="dxa"/>
              <w:bottom w:w="80" w:type="dxa"/>
              <w:left w:w="100" w:type="dxa"/>
              <w:right w:w="100" w:type="dxa"/>
            </w:tcMar>
            <w:tcBorders>
              <w:top w:val="none"/>
              <w:left w:val="none"/>
              <w:bottom w:val="single" w:sz="4" w:space="0" w:color="D9D9D9"/>
              <w:right w:val="none"/>
            </w:tcBorders>
          </w:tcPr>
          <w:p>
            <w:r>
              <w:rPr>
                <w:color w:val="262626"/>
                <w:sz w:val="19"/>
              </w:rPr>
              <w:t>Agent 13 — Documentation Quality Lead</w:t>
            </w:r>
          </w:p>
        </w:tc>
      </w:tr>
      <w:tr>
        <w:tc>
          <w:tcPr>
            <w:tcW w:type="dxa" w:w="3168"/>
            <w:shd w:fill="FFFFFF"/>
            <w:tcMar>
              <w:top w:w="80" w:type="dxa"/>
              <w:bottom w:w="80" w:type="dxa"/>
              <w:left w:w="100" w:type="dxa"/>
              <w:right w:w="100" w:type="dxa"/>
            </w:tcMar>
            <w:tcBorders>
              <w:top w:val="none"/>
              <w:left w:val="none"/>
              <w:bottom w:val="single" w:sz="4" w:space="0" w:color="D9D9D9"/>
              <w:right w:val="none"/>
            </w:tcBorders>
          </w:tcPr>
          <w:p>
            <w:r>
              <w:rPr>
                <w:b/>
                <w:color w:val="1F497D"/>
                <w:sz w:val="19"/>
              </w:rPr>
              <w:t>Date of Publication</w:t>
            </w:r>
          </w:p>
        </w:tc>
        <w:tc>
          <w:tcPr>
            <w:tcW w:type="dxa" w:w="6192"/>
            <w:shd w:fill="FFFFFF"/>
            <w:tcMar>
              <w:top w:w="80" w:type="dxa"/>
              <w:bottom w:w="80" w:type="dxa"/>
              <w:left w:w="100" w:type="dxa"/>
              <w:right w:w="100" w:type="dxa"/>
            </w:tcMar>
            <w:tcBorders>
              <w:top w:val="none"/>
              <w:left w:val="none"/>
              <w:bottom w:val="single" w:sz="4" w:space="0" w:color="D9D9D9"/>
              <w:right w:val="none"/>
            </w:tcBorders>
          </w:tcPr>
          <w:p>
            <w:r>
              <w:rPr>
                <w:color w:val="262626"/>
                <w:sz w:val="19"/>
              </w:rPr>
              <w:t>October 27, 2026</w:t>
            </w:r>
          </w:p>
        </w:tc>
      </w:tr>
      <w:tr>
        <w:tc>
          <w:tcPr>
            <w:tcW w:type="dxa" w:w="3168"/>
            <w:shd w:fill="F2F4F8"/>
            <w:tcMar>
              <w:top w:w="80" w:type="dxa"/>
              <w:bottom w:w="80" w:type="dxa"/>
              <w:left w:w="100" w:type="dxa"/>
              <w:right w:w="100" w:type="dxa"/>
            </w:tcMar>
            <w:tcBorders>
              <w:top w:val="none"/>
              <w:left w:val="none"/>
              <w:bottom w:val="single" w:sz="4" w:space="0" w:color="D9D9D9"/>
              <w:right w:val="none"/>
            </w:tcBorders>
          </w:tcPr>
          <w:p>
            <w:r>
              <w:rPr>
                <w:b/>
                <w:color w:val="1F497D"/>
                <w:sz w:val="19"/>
              </w:rPr>
              <w:t>Reverse Engineering Tool</w:t>
            </w:r>
          </w:p>
        </w:tc>
        <w:tc>
          <w:tcPr>
            <w:tcW w:type="dxa" w:w="6192"/>
            <w:shd w:fill="F2F4F8"/>
            <w:tcMar>
              <w:top w:w="80" w:type="dxa"/>
              <w:bottom w:w="80" w:type="dxa"/>
              <w:left w:w="100" w:type="dxa"/>
              <w:right w:w="100" w:type="dxa"/>
            </w:tcMar>
            <w:tcBorders>
              <w:top w:val="none"/>
              <w:left w:val="none"/>
              <w:bottom w:val="single" w:sz="4" w:space="0" w:color="D9D9D9"/>
              <w:right w:val="none"/>
            </w:tcBorders>
          </w:tcPr>
          <w:p>
            <w:r>
              <w:rPr>
                <w:color w:val="262626"/>
                <w:sz w:val="19"/>
              </w:rPr>
              <w:t>REA 6.7.0 (Reverse Engineering Anything) + MCP</w:t>
            </w:r>
          </w:p>
        </w:tc>
      </w:tr>
      <w:tr>
        <w:tc>
          <w:tcPr>
            <w:tcW w:type="dxa" w:w="3168"/>
            <w:shd w:fill="FFFFFF"/>
            <w:tcMar>
              <w:top w:w="80" w:type="dxa"/>
              <w:bottom w:w="80" w:type="dxa"/>
              <w:left w:w="100" w:type="dxa"/>
              <w:right w:w="100" w:type="dxa"/>
            </w:tcMar>
            <w:tcBorders>
              <w:top w:val="none"/>
              <w:left w:val="none"/>
              <w:bottom w:val="single" w:sz="4" w:space="0" w:color="D9D9D9"/>
              <w:right w:val="none"/>
            </w:tcBorders>
          </w:tcPr>
          <w:p>
            <w:r>
              <w:rPr>
                <w:b/>
                <w:color w:val="1F497D"/>
                <w:sz w:val="19"/>
              </w:rPr>
              <w:t>Classification</w:t>
            </w:r>
          </w:p>
        </w:tc>
        <w:tc>
          <w:tcPr>
            <w:tcW w:type="dxa" w:w="6192"/>
            <w:shd w:fill="FFFFFF"/>
            <w:tcMar>
              <w:top w:w="80" w:type="dxa"/>
              <w:bottom w:w="80" w:type="dxa"/>
              <w:left w:w="100" w:type="dxa"/>
              <w:right w:w="100" w:type="dxa"/>
            </w:tcMar>
            <w:tcBorders>
              <w:top w:val="none"/>
              <w:left w:val="none"/>
              <w:bottom w:val="single" w:sz="4" w:space="0" w:color="D9D9D9"/>
              <w:right w:val="none"/>
            </w:tcBorders>
          </w:tcPr>
          <w:p>
            <w:r>
              <w:rPr>
                <w:color w:val="262626"/>
                <w:sz w:val="19"/>
              </w:rPr>
              <w:t>Confidential — Internal Engineering &amp; Architecture Manual</w:t>
            </w:r>
          </w:p>
        </w:tc>
      </w:tr>
    </w:tbl>
    <w:p>
      <w:r>
        <w:br w:type="page"/>
      </w:r>
    </w:p>
    <w:p>
      <w:pPr>
        <w:keepNext/>
        <w:spacing w:before="360" w:after="120"/>
      </w:pPr>
      <w:r>
        <w:rPr>
          <w:rFonts w:ascii="Calibri" w:hAnsi="Calibri"/>
          <w:b/>
          <w:color w:val="1F497D"/>
          <w:sz w:val="32"/>
        </w:rPr>
        <w:t>1.0 Gaps and Limitations Policy</w:t>
      </w:r>
    </w:p>
    <w:p>
      <w:r>
        <w:rPr>
          <w:rFonts w:ascii="Calibri" w:hAnsi="Calibri"/>
          <w:color w:val="262626"/>
          <w:sz w:val="21"/>
        </w:rPr>
        <w:t>In strict accordance with the Reverse Engineering Anything (REA) protocol and the master prompt instructions, this document explicitly catalogues all unverified behaviors, testing coverage gaps, third-party configuration dependencies, and environment constraints. No functionality is assumed to exist unless supported by concrete source code evidence.</w:t>
      </w:r>
    </w:p>
    <w:p>
      <w:pPr>
        <w:keepNext/>
        <w:spacing w:before="360" w:after="120"/>
      </w:pPr>
      <w:r>
        <w:rPr>
          <w:rFonts w:ascii="Calibri" w:hAnsi="Calibri"/>
          <w:b/>
          <w:color w:val="1F497D"/>
          <w:sz w:val="32"/>
        </w:rPr>
        <w:t>2.0 Testing Coverage Deficits</w:t>
      </w:r>
    </w:p>
    <w:p>
      <w:r>
        <w:rPr>
          <w:rFonts w:ascii="Calibri" w:hAnsi="Calibri"/>
          <w:color w:val="262626"/>
          <w:sz w:val="21"/>
        </w:rPr>
        <w:t>While the backend unit and regression test suite achieves 100% pass rates across 52 critical test cases, three significant testing gaps remain in the repository:</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00" w:type="dxa"/>
              <w:bottom w:w="100" w:type="dxa"/>
              <w:left w:w="100" w:type="dxa"/>
              <w:right w:w="100" w:type="dxa"/>
            </w:tcMar>
          </w:tcPr>
          <w:p>
            <w:pPr>
              <w:spacing w:after="0"/>
              <w:jc w:val="center"/>
            </w:pPr>
            <w:r>
              <w:rPr>
                <w:rFonts w:ascii="Calibri" w:hAnsi="Calibri"/>
                <w:b/>
                <w:color w:val="FFFFFF"/>
                <w:sz w:val="19"/>
              </w:rPr>
              <w:t>Area / Module</w:t>
            </w:r>
          </w:p>
        </w:tc>
        <w:tc>
          <w:tcPr>
            <w:tcW w:type="dxa" w:w="2340"/>
            <w:shd w:fill="1F497D"/>
            <w:tcMar>
              <w:top w:w="100" w:type="dxa"/>
              <w:bottom w:w="100" w:type="dxa"/>
              <w:left w:w="100" w:type="dxa"/>
              <w:right w:w="100" w:type="dxa"/>
            </w:tcMar>
          </w:tcPr>
          <w:p>
            <w:pPr>
              <w:spacing w:after="0"/>
              <w:jc w:val="center"/>
            </w:pPr>
            <w:r>
              <w:rPr>
                <w:rFonts w:ascii="Calibri" w:hAnsi="Calibri"/>
                <w:b/>
                <w:color w:val="FFFFFF"/>
                <w:sz w:val="19"/>
              </w:rPr>
              <w:t>Identified Gap</w:t>
            </w:r>
          </w:p>
        </w:tc>
        <w:tc>
          <w:tcPr>
            <w:tcW w:type="dxa" w:w="2340"/>
            <w:shd w:fill="1F497D"/>
            <w:tcMar>
              <w:top w:w="100" w:type="dxa"/>
              <w:bottom w:w="100" w:type="dxa"/>
              <w:left w:w="100" w:type="dxa"/>
              <w:right w:w="100" w:type="dxa"/>
            </w:tcMar>
          </w:tcPr>
          <w:p>
            <w:pPr>
              <w:spacing w:after="0"/>
              <w:jc w:val="center"/>
            </w:pPr>
            <w:r>
              <w:rPr>
                <w:rFonts w:ascii="Calibri" w:hAnsi="Calibri"/>
                <w:b/>
                <w:color w:val="FFFFFF"/>
                <w:sz w:val="19"/>
              </w:rPr>
              <w:t>Severity</w:t>
            </w:r>
          </w:p>
        </w:tc>
        <w:tc>
          <w:tcPr>
            <w:tcW w:type="dxa" w:w="2340"/>
            <w:shd w:fill="1F497D"/>
            <w:tcMar>
              <w:top w:w="100" w:type="dxa"/>
              <w:bottom w:w="100" w:type="dxa"/>
              <w:left w:w="100" w:type="dxa"/>
              <w:right w:w="100" w:type="dxa"/>
            </w:tcMar>
          </w:tcPr>
          <w:p>
            <w:pPr>
              <w:spacing w:after="0"/>
              <w:jc w:val="center"/>
            </w:pPr>
            <w:r>
              <w:rPr>
                <w:rFonts w:ascii="Calibri" w:hAnsi="Calibri"/>
                <w:b/>
                <w:color w:val="FFFFFF"/>
                <w:sz w:val="19"/>
              </w:rPr>
              <w:t>Impact &amp; Future Remediation Plan</w:t>
            </w:r>
          </w:p>
        </w:tc>
      </w:tr>
      <w:tr>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Frontend UI Components</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No Vitest / Jest / RTL test framework installed in package.json</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MEDIUM</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Component rendering, Redux state reducers, and form validation rely on static oxlint audits.</w:t>
            </w:r>
          </w:p>
        </w:tc>
      </w:tr>
      <w:tr>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End-to-End (E2E) Journeys</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No Playwright / Cypress browser automation runner installed</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MEDIUM</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Multi-step user flows (e.g. login -&gt; qualification -&gt; lead issuance) lack automated browser tests.</w:t>
            </w:r>
          </w:p>
        </w:tc>
      </w:tr>
      <w:tr>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Companies Backend App</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backend/companies/tests.py contains no test cases (empty TestCase)</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LOW</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Reference company metadata and industry classification helpers lack explicit unit test assertions.</w:t>
            </w:r>
          </w:p>
        </w:tc>
      </w:tr>
    </w:tbl>
    <w:p>
      <w:pPr>
        <w:spacing w:after="120"/>
      </w:pPr>
    </w:p>
    <w:p>
      <w:pPr>
        <w:keepNext/>
        <w:spacing w:before="360" w:after="120"/>
      </w:pPr>
      <w:r>
        <w:rPr>
          <w:rFonts w:ascii="Calibri" w:hAnsi="Calibri"/>
          <w:b/>
          <w:color w:val="1F497D"/>
          <w:sz w:val="32"/>
        </w:rPr>
        <w:t>3.0 External Third-Party Runtime Dependencies</w:t>
      </w:r>
    </w:p>
    <w:p>
      <w:r>
        <w:rPr>
          <w:rFonts w:ascii="Calibri" w:hAnsi="Calibri"/>
          <w:color w:val="262626"/>
          <w:sz w:val="21"/>
        </w:rPr>
        <w:t>Certain operational features could not be dynamically verified end-to-end in the local environment because they depend on external live credentials and third-party cloud services:</w:t>
      </w:r>
    </w:p>
    <w:p>
      <w:r>
        <w:rPr>
          <w:rFonts w:ascii="Calibri" w:hAnsi="Calibri"/>
          <w:color w:val="262626"/>
          <w:sz w:val="21"/>
        </w:rPr>
        <w:t>• Live Meta Graph API &amp; Instagram Posting: Depends on active META_APP_ID and access tokens. Static inspection confirmed OAuth endpoints and graph API URL builders, but live token handshakes were not triggered.</w:t>
      </w:r>
    </w:p>
    <w:p>
      <w:r>
        <w:rPr>
          <w:rFonts w:ascii="Calibri" w:hAnsi="Calibri"/>
          <w:color w:val="262626"/>
          <w:sz w:val="21"/>
        </w:rPr>
        <w:t>• Live Twitter/X API v2: Depends on TWITTER_CLIENT_ID and PKCE verification. TwitterTweetView implementation was verified statically, but live tweet dispatch was not executed to prevent side effects.</w:t>
      </w:r>
    </w:p>
    <w:p>
      <w:r>
        <w:rPr>
          <w:rFonts w:ascii="Calibri" w:hAnsi="Calibri"/>
          <w:color w:val="262626"/>
          <w:sz w:val="21"/>
        </w:rPr>
        <w:t>• AWS S3 Object Storage: When USE_OBJECT_STORAGE=False (default dev), file uploads write to local MEDIA_ROOT. S3Boto3Storage configuration was validated statically against deploy/aws/ settings.</w:t>
      </w:r>
    </w:p>
    <w:p>
      <w:pPr>
        <w:keepNext/>
        <w:spacing w:before="360" w:after="120"/>
      </w:pPr>
      <w:r>
        <w:rPr>
          <w:rFonts w:ascii="Calibri" w:hAnsi="Calibri"/>
          <w:b/>
          <w:color w:val="1F497D"/>
          <w:sz w:val="32"/>
        </w:rPr>
        <w:t>4.0 Tooling &amp; Analysis Constraints</w:t>
      </w:r>
    </w:p>
    <w:p>
      <w:r>
        <w:rPr>
          <w:rFonts w:ascii="Calibri" w:hAnsi="Calibri"/>
          <w:color w:val="262626"/>
          <w:sz w:val="21"/>
        </w:rPr>
        <w:t>4.1 REA Directory Watcher in OneDrive: When running analyze_javascript_application on the uncompiled frontend directory within Microsoft OneDrive on Windows, OneDrive background sync events caused intermittent directory entry change alerts. This was resolved by analyzing the built production artifact under frontend/dist/, which produced a complete 230 MB AST and semantic relationship bundle.</w:t>
      </w:r>
    </w:p>
    <w:p>
      <w:r>
        <w:rPr>
          <w:rFonts w:ascii="Calibri" w:hAnsi="Calibri"/>
          <w:color w:val="262626"/>
          <w:sz w:val="21"/>
        </w:rPr>
        <w:t>4.2 Headless Ghidra &amp; Native Decompilers: REA native decompilers (Ghidra, Hopper) require separate local engine installations. Because MarketIntel DB is a Python/Django and React/JavaScript web application, native binary decompilation was unnecessary, and REA's JavaScript, HTML, and SQLite analysis providers fulfilled all reverse-engineering requirements.</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787878"/>
        <w:sz w:val="17"/>
      </w:rPr>
      <w:t>Confidential  |  Agent 13 — Documentation Quality Lead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MarketIntel DB  |  DOC-15 — Documentation Gaps, Limitations, and Technical Debt 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