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23F" w:rsidRPr="00A4023F" w:rsidRDefault="00A4023F" w:rsidP="00A4023F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bCs/>
          <w:caps/>
          <w:color w:val="044A74"/>
          <w:kern w:val="36"/>
          <w:sz w:val="45"/>
          <w:szCs w:val="45"/>
          <w:lang w:eastAsia="ru-RU"/>
        </w:rPr>
      </w:pPr>
      <w:r w:rsidRPr="00A4023F">
        <w:rPr>
          <w:rFonts w:ascii="Helvetica" w:eastAsia="Times New Roman" w:hAnsi="Helvetica" w:cs="Helvetica"/>
          <w:b/>
          <w:bCs/>
          <w:caps/>
          <w:color w:val="044A74"/>
          <w:kern w:val="36"/>
          <w:sz w:val="45"/>
          <w:szCs w:val="45"/>
          <w:lang w:eastAsia="ru-RU"/>
        </w:rPr>
        <w:t>Способы борьбы с беспилотными летательными аппаратами</w:t>
      </w:r>
    </w:p>
    <w:p w:rsidR="00A4023F" w:rsidRPr="00A4023F" w:rsidRDefault="00A4023F" w:rsidP="00A4023F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999999"/>
          <w:sz w:val="27"/>
          <w:szCs w:val="27"/>
          <w:lang w:eastAsia="ru-RU"/>
        </w:rPr>
      </w:pPr>
      <w:r w:rsidRPr="00A4023F">
        <w:rPr>
          <w:rFonts w:ascii="Helvetica" w:eastAsia="Times New Roman" w:hAnsi="Helvetica" w:cs="Helvetica"/>
          <w:i/>
          <w:iCs/>
          <w:color w:val="044A74"/>
          <w:sz w:val="27"/>
          <w:szCs w:val="27"/>
          <w:lang w:eastAsia="ru-RU"/>
        </w:rPr>
        <w:t>12 Августа 2024</w:t>
      </w:r>
      <w:r w:rsidRPr="00A4023F">
        <w:rPr>
          <w:rFonts w:ascii="Helvetica" w:eastAsia="Times New Roman" w:hAnsi="Helvetica" w:cs="Helvetica"/>
          <w:i/>
          <w:iCs/>
          <w:color w:val="999999"/>
          <w:sz w:val="27"/>
          <w:szCs w:val="27"/>
          <w:lang w:eastAsia="ru-RU"/>
        </w:rPr>
        <w:t> 06:05</w:t>
      </w:r>
    </w:p>
    <w:p w:rsidR="00A4023F" w:rsidRPr="00A4023F" w:rsidRDefault="00A4023F" w:rsidP="00A4023F">
      <w:pPr>
        <w:spacing w:before="100" w:beforeAutospacing="1" w:after="225" w:line="240" w:lineRule="auto"/>
        <w:jc w:val="righ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402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АРМЕЙСКИЙ СБОРНИК №08 2024</w:t>
      </w:r>
    </w:p>
    <w:p w:rsidR="00A4023F" w:rsidRPr="00A4023F" w:rsidRDefault="00A4023F" w:rsidP="00A4023F">
      <w:pPr>
        <w:spacing w:after="225" w:line="240" w:lineRule="auto"/>
        <w:jc w:val="righ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</w:p>
    <w:p w:rsidR="00A4023F" w:rsidRPr="00A4023F" w:rsidRDefault="00A4023F" w:rsidP="00A4023F">
      <w:pPr>
        <w:spacing w:after="225" w:line="240" w:lineRule="auto"/>
        <w:jc w:val="righ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402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Д. МЕРКУЛЕНКО</w:t>
      </w:r>
    </w:p>
    <w:p w:rsidR="00A4023F" w:rsidRPr="00A4023F" w:rsidRDefault="00A4023F" w:rsidP="00A4023F">
      <w:pPr>
        <w:spacing w:after="225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</w:p>
    <w:p w:rsidR="00A4023F" w:rsidRPr="00A4023F" w:rsidRDefault="00A4023F" w:rsidP="00A4023F">
      <w:pPr>
        <w:spacing w:after="225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7124065" cy="5241925"/>
            <wp:effectExtent l="0" t="0" r="635" b="0"/>
            <wp:docPr id="7" name="Рисунок 7" descr="https://army.ric.mil.ru/upload/site175/document_news/000/590/251/1643737661_3-hdpic-club-p-tipi-bespilotnikh-letatelnikh-apparatov-fo-4_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rmy.ric.mil.ru/upload/site175/document_news/000/590/251/1643737661_3-hdpic-club-p-tipi-bespilotnikh-letatelnikh-apparatov-fo-4_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065" cy="52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23F" w:rsidRPr="00A4023F" w:rsidRDefault="00A4023F" w:rsidP="00A4023F">
      <w:pPr>
        <w:spacing w:after="225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Новые войны и военные конфликты все в большей степени зависят от технологических укладов участвующих в них государств, новых технологий и вооружений, освоенных к настоящему времени противоборствующими сторонами. Бурное развитие науки и технологий практически изменило характер вооруженной борьбы.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Опыт современных войн показывает, что главным способом достижения целей 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войны становится дистанционное бесконтактное воздействие на противника за счет массированного применения высокоточных и дальнобойных средств поражения с воздуха, моря и из космоса.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В последнее время в практике стал широко использоваться термин «дистанционно-кибернетическое умное оружие» — высокоточное по существу и </w:t>
      </w:r>
      <w:proofErr w:type="gram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многофункциональное</w:t>
      </w:r>
      <w:proofErr w:type="gram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по сути. Создание умного оружия основано на широком применении роботов, элементов искусственного интеллекта, информационных средств различной физической природы, а под боевые заряды в таком оружии могут быть адаптированы самые разные носители. Безусловно, именно к такому оружию относятся беспилотные летательные аппараты (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) различных видов и классов, занимающие лидирующую позицию в современной войне.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Результаты проведенных к настоящему времени исследований в области борьбы с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позволяют сделать вывод о том, что российские комплексы ПВО обладают необходимыми возможностями по борьбе </w:t>
      </w:r>
      <w:proofErr w:type="gram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с</w:t>
      </w:r>
      <w:proofErr w:type="gram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современными СВН.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Исключением являются только дистанционно управляемые тактические микр</w:t>
      </w:r>
      <w:proofErr w:type="gram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о-</w:t>
      </w:r>
      <w:proofErr w:type="gram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мини-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которые получили свое бурное развитие в современных военных конфликтах. Следует отметить, что при полномасштабном оснащении их элементами искусственного интеллекта и реализации возможности применения значительного количества таких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 рое борьба с ними средствами ПВО, реализующими классические способы поражения воздушных целей, будет практически невозможна.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Решить проблему противодействия малоразмерным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возможно, создав систему комплексного противодействия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 использованием разнородных сил и средств, которая будет являться подсистемой системы ПВО.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Система комплексного противодействия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должна включать активные и пассивные действия, направленные на уничтожение, нейтрализацию и снижение эффективности действия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противника.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Структура системы комплексного противодействия представлена на рисунке 1.</w:t>
      </w:r>
    </w:p>
    <w:p w:rsidR="00A4023F" w:rsidRPr="00A4023F" w:rsidRDefault="00A4023F" w:rsidP="00A4023F">
      <w:pPr>
        <w:spacing w:after="225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7623810" cy="2041525"/>
            <wp:effectExtent l="0" t="0" r="0" b="0"/>
            <wp:docPr id="6" name="Рисунок 6" descr="https://army.ric.mil.ru/upload/site175/document_news/000/590/251/Ris._1._Struktura_sistemy_kompleksnogo_protivodeystviya_BpLA_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rmy.ric.mil.ru/upload/site175/document_news/000/590/251/Ris._1._Struktura_sistemy_kompleksnogo_protivodeystviya_BpLA_cop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23F" w:rsidRPr="00A4023F" w:rsidRDefault="00A4023F" w:rsidP="00A4023F">
      <w:pPr>
        <w:spacing w:after="225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402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Рис. 1. Структура системы комплексного противодействия </w:t>
      </w:r>
      <w:proofErr w:type="spellStart"/>
      <w:r w:rsidRPr="00A402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БпЛА</w:t>
      </w:r>
      <w:proofErr w:type="spellEnd"/>
    </w:p>
    <w:p w:rsidR="00A4023F" w:rsidRPr="00A4023F" w:rsidRDefault="00A4023F" w:rsidP="00A4023F">
      <w:pPr>
        <w:spacing w:after="225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Подсистема разведки предназначена для обнаружения, опознавания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противника и пунк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softHyphen/>
        <w:t>тов управления ими посредством ведения комплексной радиолокационной, радиотехнической, оптико-электронной, визуальной и акустической разведки.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 xml:space="preserve">Подсистема управления предназначена для устойчивого, оперативного, непрерывного и скрытного управления разнородными силами и средствами противодействия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Подсистема активного противодействия предназначена для уничтожения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противника за счет огневого и физического поражения, радиоэлектронного подавления.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Подсистема пассивного противодействия предназначена для нейтрализации и снижения эффективности действия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противника за счет скрытия и имитации районов расположения частей и подразделений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мсд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противодействия оптико-электронным средствам разведки и наведения ВТО при групповом и массированном применении противником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Систему противодействия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необходимо создавать на основе решения командира общевойскового формирования тактического звена с учетом возможностей штатных и коммерческих (по опыту СВО) средств, их тесного взаимодействия. Она должна быть тщательно увязана с системой разведки, огневого поражения, ПВО, РЭБ общевойскового формирования тактического звена.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В качестве способов борьбы с тактическими микр</w:t>
      </w:r>
      <w:proofErr w:type="gram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о-</w:t>
      </w:r>
      <w:proofErr w:type="gram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мини-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softHyphen/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силами и средствами общевой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softHyphen/>
        <w:t>скового соединения будут применяться: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способы ведения разведки разнородными силами и средствами;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способы управления разнородными силами и средствами;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способы активного противодействия малоразмерным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;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способы пассивного противодействия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Под способом борьбы с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понимается система действий подразделений, применяемых при борьбе с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противника.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Предложенная классификация способов борьбы с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сил и средств общевойскового соединения представлена в таблице 1.</w:t>
      </w:r>
    </w:p>
    <w:p w:rsidR="00A4023F" w:rsidRPr="00A4023F" w:rsidRDefault="00A4023F" w:rsidP="00A4023F">
      <w:pPr>
        <w:spacing w:after="225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402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Рекомендации по совершенствованию способов ведения разведки тактических микр</w:t>
      </w:r>
      <w:proofErr w:type="gramStart"/>
      <w:r w:rsidRPr="00A402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о-</w:t>
      </w:r>
      <w:proofErr w:type="gramEnd"/>
      <w:r w:rsidRPr="00A402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мини–</w:t>
      </w:r>
      <w:proofErr w:type="spellStart"/>
      <w:r w:rsidRPr="00A402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противника и управления разнородными силами и средствами</w:t>
      </w:r>
    </w:p>
    <w:p w:rsidR="00A4023F" w:rsidRPr="00A4023F" w:rsidRDefault="00A4023F" w:rsidP="00A4023F">
      <w:pPr>
        <w:spacing w:after="225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Существующие средства воздушной разведки, работа которых основана на традиционных методах активной локации, не обеспечивают надежное и своевременное обнаружение микр</w:t>
      </w:r>
      <w:proofErr w:type="gram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о-</w:t>
      </w:r>
      <w:proofErr w:type="gram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мини–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Исследования, проведенные в данной области, показывают, что для поиска и </w:t>
      </w:r>
      <w:proofErr w:type="gram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обнаружения</w:t>
      </w:r>
      <w:proofErr w:type="gram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малоразмерных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необходимо использовать комплекс средств, работающих на различных физических принципах. Обнаружение малоразмерных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может вестись пассивными средствами разведки (комплексами РТР, оптико-электронными средствами и постами воздушного наблюдения), а также активными средствами (радиолокационными средствами разведки дежурного и боевого режимов и других родов войск).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При привлечении названных средств можно обозначить несколько способов ведения разведки малоразмерных целей.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Постами воздушного наблюдения (ПВН).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Радиолокационными средствами.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Станциями РТР и оптико-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softHyphen/>
        <w:t>электронными средствами.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Совместным использованием активных и пассивных средств.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Комплексированием информации от средств разведки других родов войск.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Одно из эффективных средств ведения разведки малоразмерных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использование в качестве источника информации для подразделений ПВО системы визуальной разведки, созданной на базе имеющихся наблюдателей в общевойсковых подразделениях и подразделениях ПВО. Однако эффективность системы визуальной разведки возможна только при условии создания единой автоматизированной системы сбора и обработки информации от ПВН.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Анализ пространственных характеристик полосы обороны дивизии на современном этапе показывает, что для создания сплошной зоны визуальной разведки </w:t>
      </w:r>
      <w:proofErr w:type="gram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достаточно трехлинейной</w:t>
      </w:r>
      <w:proofErr w:type="gram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структуры с интервалом между наблюдателями до 2 км. Расстояние между линиями в глубину должно составлять до 4 км. Причем наблюдателей целесообразно размещать в шахматном порядке, который обеспечивает более надежное перекрытие зоны обзора. Это обусловлено дальностями визуальной видимости (от 100 до 500 м), ОЭС (от 150 м до 8,7 км) в зависимости от типа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расстоянием, которое пролетит воздушная цель за время передачи информации от наблюдателей ПВН первой (второй) линии наблюдателю второй (третьей) линии.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Существенным условием эффективного применения ПВН в единой системе визуальной разведки общевойсковых подразделений и подразделений ПВО является их оснащение аппаратурой автоматизированного информационного обмена о воздушной обстановке. Для решения этой задачи рекомендуется оснастить командные пункты в звене взвод — полк — дивизия комплектом межвидовой системы информационного обмена (МСИО).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МСИО предназначена для формирования технической и информационной основы обеспечения взаимодействия в интересах решения следующих задач: обнаружение цели; доведение информации до ПУ; принятие решения на поражение; постановка задач на поражение; контроль результатов поражения.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Состав средств, входящих в МСИО, представлен на рисунке 2.</w:t>
      </w:r>
    </w:p>
    <w:p w:rsidR="00A4023F" w:rsidRPr="00A4023F" w:rsidRDefault="00A4023F" w:rsidP="00A4023F">
      <w:pPr>
        <w:spacing w:after="225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lastRenderedPageBreak/>
        <w:drawing>
          <wp:inline distT="0" distB="0" distL="0" distR="0">
            <wp:extent cx="7623810" cy="5029200"/>
            <wp:effectExtent l="0" t="0" r="0" b="0"/>
            <wp:docPr id="5" name="Рисунок 5" descr="https://army.ric.mil.ru/upload/site175/document_news/000/590/251/Ris._2._Sostav_sredstv_vkhodyaschikh_v_MSIO_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rmy.ric.mil.ru/upload/site175/document_news/000/590/251/Ris._2._Sostav_sredstv_vkhodyaschikh_v_MSIO_cop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23F" w:rsidRPr="00A4023F" w:rsidRDefault="00A4023F" w:rsidP="00A4023F">
      <w:pPr>
        <w:spacing w:after="225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402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Рис. 2. Состав средств, входящих в МСИО</w:t>
      </w:r>
    </w:p>
    <w:p w:rsidR="00A4023F" w:rsidRPr="00A4023F" w:rsidRDefault="00A4023F" w:rsidP="00A4023F">
      <w:pPr>
        <w:spacing w:after="225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Созданная таким образом трехлинейная система ПВН обеспечит обнаружение малоразмерных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от переднего края на дальностях от 6 до 14,5 км. Применение МСИО в качестве единой автоматизированной системы сбора и обработки информации от ПВН позволит в разы сократить цикл прохождения информации от средств обнаружения до ПУ, что позволит увеличить баланс времени на принятие решения и постановку задач на уничтожение (нейтрализацию)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противника.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Современные условия применения средств активной радио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softHyphen/>
        <w:t>локации в ходе вооруженных конфликтов остро поставили вопрос о необходимости смещения приоритета применения РЛС в сторону средств разведки пассивного типа.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Комплекс средств обнаружения малоразмерных летательных аппаратов «Магистр-СВ», находящийся в стадии испытаний, обладает хорошими возможностями по обнаружению и распознаванию малоразмерных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. Высокие показатели по обнаружению малоразмерных летательных аппаратов обеспечиваются комплексным использованием станции РТР, оптико-электронной и радиолокационной разведки.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Решить проблему малой дальности обнаружения малоразмерного беспилотного летательного аппарата возможно использованием по отдельности или в 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 xml:space="preserve">комплексе нижеперечисленных способов разведки малоразмерных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противника.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Создание единой для общевойсковых подразделений и подразделений ПВО системы визуального наблюдения, входящей в единую автоматизированную систему сбора и обработки информации.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Комплексное использование средств разведки, работа которых основана на применении различных принципов обнаружения летательных аппарата.</w:t>
      </w:r>
    </w:p>
    <w:p w:rsidR="00A4023F" w:rsidRPr="00A4023F" w:rsidRDefault="00A4023F" w:rsidP="00A4023F">
      <w:pPr>
        <w:spacing w:after="225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Рекомендации по совершенствованию способов активного противодействия тактическим микр</w:t>
      </w:r>
      <w:proofErr w:type="gram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о-</w:t>
      </w:r>
      <w:proofErr w:type="gram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мини-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противника</w:t>
      </w:r>
    </w:p>
    <w:p w:rsidR="00A4023F" w:rsidRPr="00A4023F" w:rsidRDefault="00A4023F" w:rsidP="00A4023F">
      <w:pPr>
        <w:spacing w:after="225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Проведенный анализ показал наиболее эффективные в современных условиях способы активного противодействия </w:t>
      </w:r>
      <w:proofErr w:type="gram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малоразмерным</w:t>
      </w:r>
      <w:proofErr w:type="gram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Эшелонированное применение средств РЭБ военного и коммерческого назначения.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Применение мобильных смешанных групп противодействия </w:t>
      </w:r>
      <w:proofErr w:type="gram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малоразмерным</w:t>
      </w:r>
      <w:proofErr w:type="gram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Кратко рассмотрим данные способы противодействия.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Для противодействия </w:t>
      </w:r>
      <w:proofErr w:type="gram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малоразмерным</w:t>
      </w:r>
      <w:proofErr w:type="gram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противника назрела необходимость создания подразделения ПД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, оснащенного средствами РЭБ военного и гражданского назначения, входящего в штат роты РЭБ соединения.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Вариант организационно-штатной структуры подразделения ПД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 составе роты РЭБ представлен на рисунке 3.</w:t>
      </w:r>
    </w:p>
    <w:p w:rsidR="00A4023F" w:rsidRPr="00A4023F" w:rsidRDefault="00A4023F" w:rsidP="00A4023F">
      <w:pPr>
        <w:spacing w:after="225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7623810" cy="3381375"/>
            <wp:effectExtent l="0" t="0" r="0" b="9525"/>
            <wp:docPr id="4" name="Рисунок 4" descr="https://army.ric.mil.ru/upload/site175/document_news/000/590/251/Ris._3._Variant_organizatsionno-shtatnaya_struktury_podrazdeleniya_protivodeystviya_BpLA_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rmy.ric.mil.ru/upload/site175/document_news/000/590/251/Ris._3._Variant_organizatsionno-shtatnaya_struktury_podrazdeleniya_protivodeystviya_BpLA_cop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23F" w:rsidRPr="00A4023F" w:rsidRDefault="00A4023F" w:rsidP="00A4023F">
      <w:pPr>
        <w:spacing w:after="225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402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Рис. 3. Организационно-штатная структура подразделения противодействия </w:t>
      </w:r>
      <w:proofErr w:type="spellStart"/>
      <w:r w:rsidRPr="00A402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(вариант)</w:t>
      </w:r>
    </w:p>
    <w:p w:rsidR="00A4023F" w:rsidRPr="00A4023F" w:rsidRDefault="00A4023F" w:rsidP="00A4023F">
      <w:pPr>
        <w:spacing w:after="225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Рассмотрим вариант эшелонированного боевого применения подразделения ПД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на примере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дшп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 обороне.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Подразделение ПД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будет действовать в боевых порядках частей и 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 xml:space="preserve">подразделений дивизии. В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мср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будет действовать отделение противодействия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мсб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взвод противодействия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мсп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взвод РЭБ и расчет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На сегодняшний день нет четкого понимания, каким должен быть состав и оснащение мобильных смешанных групп, специально предназначенных для прикрытия наиболее важных объектов </w:t>
      </w:r>
      <w:proofErr w:type="gram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от</w:t>
      </w:r>
      <w:proofErr w:type="gram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малоразмерных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В связи с этим появляется необходимость создания в тактическом звене штатных структур по борьбе с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Предлагается в состав групп противодействия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включить: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• группу ПВО;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• группу РЭБ;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• стрелковую группу;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• расчет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proofErr w:type="gram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Достоинством предлагаемого варианта подразделения, предназначенного для борьбы с малоразмерными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, является: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• оснащение современными высокоэффективными огневыми и радио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softHyphen/>
        <w:t xml:space="preserve">электронными средствами борьбы с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;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• обеспечение автоматизированного управления и постановки задачи на поражение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 масштабе времени близком к реальному за счет применения МСИО;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• небольшая численность личного состава и возможность быстрого перемещения в составе группы на угрожаемое направление.</w:t>
      </w:r>
      <w:proofErr w:type="gram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Организационно-штатная структура предлагаемого мобильного смешанного подразделения ПД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представлена на рисунке 4.</w:t>
      </w:r>
    </w:p>
    <w:p w:rsidR="00A4023F" w:rsidRPr="00A4023F" w:rsidRDefault="00A4023F" w:rsidP="00A4023F">
      <w:pPr>
        <w:spacing w:after="225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lastRenderedPageBreak/>
        <w:drawing>
          <wp:inline distT="0" distB="0" distL="0" distR="0">
            <wp:extent cx="6900545" cy="4763135"/>
            <wp:effectExtent l="0" t="0" r="0" b="0"/>
            <wp:docPr id="3" name="Рисунок 3" descr="https://army.ric.mil.ru/upload/site175/document_news/000/590/251/Ris._4._Organizatsionno-shtatnaya_struktura_predlagaemogo_mobilnogo_smeshannogo_podrazdeleniya_PD_BpLA_v_msd_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rmy.ric.mil.ru/upload/site175/document_news/000/590/251/Ris._4._Organizatsionno-shtatnaya_struktura_predlagaemogo_mobilnogo_smeshannogo_podrazdeleniya_PD_BpLA_v_msd_cop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54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23F" w:rsidRPr="00A4023F" w:rsidRDefault="00A4023F" w:rsidP="00A4023F">
      <w:pPr>
        <w:spacing w:after="225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402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Рис. 4. Организационно-штатная структура предлагаемого мобильного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Pr="00A402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смешанного подразделения ПД </w:t>
      </w:r>
      <w:proofErr w:type="spellStart"/>
      <w:r w:rsidRPr="00A402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 </w:t>
      </w:r>
      <w:proofErr w:type="spellStart"/>
      <w:r w:rsidRPr="00A402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мсд</w:t>
      </w:r>
      <w:proofErr w:type="spellEnd"/>
      <w:r w:rsidRPr="00A402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(вариант)</w:t>
      </w:r>
    </w:p>
    <w:p w:rsidR="00A4023F" w:rsidRPr="00A4023F" w:rsidRDefault="00A4023F" w:rsidP="00A4023F">
      <w:pPr>
        <w:spacing w:after="225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gram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Перспективное направление совершенствования способа борьбы с малоразмерными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в том числе и с роем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, управляемым с помощью искусственного интеллекта, является применение в ЗРК ближнего действия и малой дальности взрывомагнитных генераторов (ВМГ), которыми необходимо оснастить ЗУР вместо классической боевой части.</w:t>
      </w:r>
      <w:proofErr w:type="gramEnd"/>
    </w:p>
    <w:p w:rsidR="00A4023F" w:rsidRPr="00A4023F" w:rsidRDefault="00A4023F" w:rsidP="00A4023F">
      <w:pPr>
        <w:spacing w:after="225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lastRenderedPageBreak/>
        <w:drawing>
          <wp:inline distT="0" distB="0" distL="0" distR="0">
            <wp:extent cx="7623810" cy="4125595"/>
            <wp:effectExtent l="0" t="0" r="0" b="8255"/>
            <wp:docPr id="2" name="Рисунок 2" descr="https://army.ric.mil.ru/upload/site175/document_news/000/590/251/Ris._5._Kontseptsiya_v_sostave_sredstv_PVO_SV_v_rezhime_raboty_na_novykh_fizicheskikh_printsipakh_dlya_borby_s_mikro-_i_mini-BpLA_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rmy.ric.mil.ru/upload/site175/document_news/000/590/251/Ris._5._Kontseptsiya_v_sostave_sredstv_PVO_SV_v_rezhime_raboty_na_novykh_fizicheskikh_printsipakh_dlya_borby_s_mikro-_i_mini-BpLA_cop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23F" w:rsidRPr="00A4023F" w:rsidRDefault="00A4023F" w:rsidP="00A4023F">
      <w:pPr>
        <w:spacing w:after="225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402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Рис. 5. Концепция борьбы с микр</w:t>
      </w:r>
      <w:proofErr w:type="gramStart"/>
      <w:r w:rsidRPr="00A402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о-</w:t>
      </w:r>
      <w:proofErr w:type="gramEnd"/>
      <w:r w:rsidRPr="00A402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мини- </w:t>
      </w:r>
      <w:proofErr w:type="spellStart"/>
      <w:r w:rsidRPr="00A402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силами и средствами войсковой ПВО, работающими на новых физических принципах</w:t>
      </w:r>
    </w:p>
    <w:p w:rsidR="00A4023F" w:rsidRPr="00A4023F" w:rsidRDefault="00A4023F" w:rsidP="00A4023F">
      <w:pPr>
        <w:spacing w:after="225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ВМГ обеспечивает прямое преобразование энергии взрыва смесевого заряда в энергию электромагнитного импульса. При массе ВМГ до 12–15 кг, что приемлемо для ЗУР, применяемой в ЗРК «Тор-М2», энергии, излучаемой СВЧ-боеприпасом, достаточно для функционального поражения бортовой электроники роя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 радиусе 800–1000 метров и более от точки подрыва, то есть функционального поражения групповой цели, к чему и стремились.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На рисунке 5 представлена концепция борьбы с микр</w:t>
      </w:r>
      <w:proofErr w:type="gram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о-</w:t>
      </w:r>
      <w:proofErr w:type="gram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мини-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силами и средствами войсковой ПВО, работающих на новых физических принципах.</w:t>
      </w:r>
    </w:p>
    <w:p w:rsidR="00A4023F" w:rsidRPr="00A4023F" w:rsidRDefault="00A4023F" w:rsidP="00A4023F">
      <w:pPr>
        <w:spacing w:after="225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402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Рекомендации по совершенствованию способов пассивного противодействия тактическим микр</w:t>
      </w:r>
      <w:proofErr w:type="gramStart"/>
      <w:r w:rsidRPr="00A402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о-</w:t>
      </w:r>
      <w:proofErr w:type="gramEnd"/>
      <w:r w:rsidRPr="00A402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мини-</w:t>
      </w:r>
      <w:proofErr w:type="spellStart"/>
      <w:r w:rsidRPr="00A402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противника</w:t>
      </w:r>
    </w:p>
    <w:p w:rsidR="00A4023F" w:rsidRPr="00A4023F" w:rsidRDefault="00A4023F" w:rsidP="00A4023F">
      <w:pPr>
        <w:spacing w:after="225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Пассивное противодействие тактическим микр</w:t>
      </w:r>
      <w:proofErr w:type="gram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о-</w:t>
      </w:r>
      <w:proofErr w:type="gram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мини-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применяется комплексно и условно подразделяется на способы: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• осуществляемые заблаговременно при подготовке к боевым действиям (инженерное оборудование позиций, имитация ложных объектов);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• подразделяется непосредственно в ходе ведения боевых действий (постановка дымовых завес, совершение маневра на новые позиции, ОЭ-противодействие).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• Для защиты от ударных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(FPV-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дронов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, сбрасываемых снарядов) применяются следующие способы: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• оборудование образцов ВВСТ защитными сетками и козырьками;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• оснащение образцов ВВСТ средствами радиоэлектронного подавления каналов управления и навигации электронных систем FPV-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дронов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(установка на 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технике комплексов РЭБ «Волнорез» и РП-377УВМ1Л «Лесочек»);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• оборудование позиции сеткой-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рабицей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установка по периметру позиций рыболовных сетей;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• при появлении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или информац</w:t>
      </w:r>
      <w:proofErr w:type="gram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ии о е</w:t>
      </w:r>
      <w:proofErr w:type="gram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го приближении использование дымовых гранат черного дыма с целью затруднения прицельного сброса.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• Перспективным направлением пассивного противодействия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является создание мобильных комплексов противодействия воздушной разведке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. Работы по разработке данных комплексов предприятиями нашей промышленности уже ведутся.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• На рисунке 6 отображены последовательные результаты маломощного (1000 Вт) лазера зеленого цвета на видеокамеру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«Пионер Мини», выявленные в ходе проведения лабораторного военно-технического эксперимента.</w:t>
      </w:r>
    </w:p>
    <w:p w:rsidR="00A4023F" w:rsidRPr="00A4023F" w:rsidRDefault="00A4023F" w:rsidP="00A4023F">
      <w:pPr>
        <w:spacing w:after="225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7623810" cy="1605280"/>
            <wp:effectExtent l="0" t="0" r="0" b="0"/>
            <wp:docPr id="1" name="Рисунок 1" descr="https://army.ric.mil.ru/upload/site175/document_news/000/590/251/Ris._6._Rezultaty_vozdeystviya_lazernogo_izlucheniya_na_videokameru_BpLA_Pioner_Mini_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rmy.ric.mil.ru/upload/site175/document_news/000/590/251/Ris._6._Rezultaty_vozdeystviya_lazernogo_izlucheniya_na_videokameru_BpLA_Pioner_Mini_cop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23F" w:rsidRPr="00A4023F" w:rsidRDefault="00A4023F" w:rsidP="00A4023F">
      <w:pPr>
        <w:spacing w:after="225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На рисунке 6.1 наблюдается эффект засветки экрана пульта управления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Разведка в этом случае значительно затруднена, но управление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возможно. На рисунке 6.2 отображено затемнение экрана пульта управления, при котором ведение разведки невозможно, но управление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сохраняется. На рисунке 6.3 показан эффект отключения видеокамеры, при котором разведка и управление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кроме возврата последнего в точку «дом», невозможны. Промежуток времени от попадания лазерного пятна на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до последовательного возникновения эффектов 1, 2 и 3 в среднем не превышает 1 секунды.</w:t>
      </w:r>
    </w:p>
    <w:p w:rsidR="00A4023F" w:rsidRPr="00A4023F" w:rsidRDefault="00A4023F" w:rsidP="00A4023F">
      <w:pPr>
        <w:spacing w:after="225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402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Выводы</w:t>
      </w:r>
    </w:p>
    <w:p w:rsidR="00A4023F" w:rsidRPr="00A4023F" w:rsidRDefault="00A4023F" w:rsidP="00A4023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• Проблему по противодействию малоразмерным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возможно решить, создав целенаправленную систему комплексного противодействия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, имеющую в своем составе подсистемы разведки, управления, активного и пассивного противодействия.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• Для поиска и обнаружения малоразмерных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необходимо использовать комплекс средств, работающих на различных физических принципах, объединенных аппаратурой автоматизированного информационного обмена о воздушной обстановке в масштабе времени, близком </w:t>
      </w:r>
      <w:proofErr w:type="gram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к</w:t>
      </w:r>
      <w:proofErr w:type="gram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реальному.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• Наиболее эффективными способами активного противодействия малоразмерным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являются: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• эшелонированное применение средств РЭБ;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• применение мобильных смешанных групп.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• Способы пассивного противодействия </w:t>
      </w:r>
      <w:proofErr w:type="gram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малоразмерным</w:t>
      </w:r>
      <w:proofErr w:type="gram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должны применятся комплексно.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• Перспективными направлениями развития активных и пассивных способов противодействия являются: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• применение в ЗРК ближнего действия и малой дальности ВМГ;</w:t>
      </w:r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• создание мобильных комплексов противодействия воздушной разведке </w:t>
      </w:r>
      <w:proofErr w:type="spellStart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БпЛА</w:t>
      </w:r>
      <w:proofErr w:type="spellEnd"/>
      <w:r w:rsidRPr="00A4023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9509D0" w:rsidRDefault="009509D0"/>
    <w:p w:rsidR="008633AD" w:rsidRDefault="008633AD"/>
    <w:p w:rsidR="008633AD" w:rsidRDefault="008633AD"/>
    <w:p w:rsidR="008633AD" w:rsidRDefault="008633AD"/>
    <w:p w:rsidR="008633AD" w:rsidRDefault="008633AD"/>
    <w:p w:rsidR="008633AD" w:rsidRDefault="008633AD"/>
    <w:p w:rsidR="008633AD" w:rsidRDefault="008633AD"/>
    <w:p w:rsidR="008633AD" w:rsidRDefault="008633AD"/>
    <w:p w:rsidR="008633AD" w:rsidRDefault="008633AD"/>
    <w:p w:rsidR="008633AD" w:rsidRDefault="008633AD"/>
    <w:p w:rsidR="008633AD" w:rsidRDefault="008633AD"/>
    <w:p w:rsidR="008633AD" w:rsidRDefault="008633AD"/>
    <w:p w:rsidR="008633AD" w:rsidRDefault="008633AD"/>
    <w:p w:rsidR="008633AD" w:rsidRDefault="008633AD"/>
    <w:p w:rsidR="008633AD" w:rsidRDefault="008633AD">
      <w:bookmarkStart w:id="0" w:name="_GoBack"/>
      <w:bookmarkEnd w:id="0"/>
    </w:p>
    <w:p w:rsidR="008633AD" w:rsidRDefault="008633AD"/>
    <w:p w:rsidR="008633AD" w:rsidRDefault="008633AD"/>
    <w:p w:rsidR="008633AD" w:rsidRDefault="008633AD" w:rsidP="008633AD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aps/>
          <w:color w:val="044A74"/>
          <w:sz w:val="45"/>
          <w:szCs w:val="45"/>
        </w:rPr>
      </w:pPr>
      <w:r>
        <w:rPr>
          <w:rFonts w:ascii="Helvetica" w:hAnsi="Helvetica" w:cs="Helvetica"/>
          <w:caps/>
          <w:color w:val="044A74"/>
          <w:sz w:val="45"/>
          <w:szCs w:val="45"/>
        </w:rPr>
        <w:t>Способы борьбы с беспилотными летательными аппаратами</w:t>
      </w:r>
    </w:p>
    <w:p w:rsidR="008633AD" w:rsidRDefault="008633AD" w:rsidP="008633AD">
      <w:pPr>
        <w:shd w:val="clear" w:color="auto" w:fill="FFFFFF"/>
        <w:rPr>
          <w:rFonts w:ascii="Helvetica" w:hAnsi="Helvetica" w:cs="Helvetica"/>
          <w:i/>
          <w:iCs/>
          <w:color w:val="999999"/>
          <w:sz w:val="27"/>
          <w:szCs w:val="27"/>
        </w:rPr>
      </w:pPr>
      <w:r>
        <w:rPr>
          <w:rStyle w:val="bt-spec"/>
          <w:rFonts w:ascii="Helvetica" w:hAnsi="Helvetica" w:cs="Helvetica"/>
          <w:i/>
          <w:iCs/>
          <w:color w:val="044A74"/>
          <w:sz w:val="27"/>
          <w:szCs w:val="27"/>
        </w:rPr>
        <w:t>12 Августа 2024</w:t>
      </w:r>
      <w:r>
        <w:rPr>
          <w:rFonts w:ascii="Helvetica" w:hAnsi="Helvetica" w:cs="Helvetica"/>
          <w:i/>
          <w:iCs/>
          <w:color w:val="999999"/>
          <w:sz w:val="27"/>
          <w:szCs w:val="27"/>
        </w:rPr>
        <w:t> 06:05</w:t>
      </w:r>
    </w:p>
    <w:p w:rsidR="008633AD" w:rsidRDefault="008633AD" w:rsidP="008633AD">
      <w:pPr>
        <w:pStyle w:val="a3"/>
        <w:spacing w:after="225" w:afterAutospacing="0"/>
        <w:jc w:val="right"/>
        <w:rPr>
          <w:sz w:val="27"/>
          <w:szCs w:val="27"/>
        </w:rPr>
      </w:pPr>
      <w:r>
        <w:rPr>
          <w:rStyle w:val="a4"/>
          <w:sz w:val="27"/>
          <w:szCs w:val="27"/>
        </w:rPr>
        <w:t>АРМЕЙСКИЙ СБОРНИК №08 2024</w:t>
      </w:r>
    </w:p>
    <w:p w:rsidR="008633AD" w:rsidRDefault="008633AD" w:rsidP="008633AD">
      <w:pPr>
        <w:pStyle w:val="a3"/>
        <w:spacing w:before="0" w:beforeAutospacing="0" w:after="225" w:afterAutospacing="0"/>
        <w:jc w:val="right"/>
        <w:rPr>
          <w:sz w:val="27"/>
          <w:szCs w:val="27"/>
        </w:rPr>
      </w:pPr>
      <w:r>
        <w:rPr>
          <w:sz w:val="27"/>
          <w:szCs w:val="27"/>
        </w:rPr>
        <w:t> </w:t>
      </w:r>
    </w:p>
    <w:p w:rsidR="008633AD" w:rsidRDefault="008633AD" w:rsidP="008633AD">
      <w:pPr>
        <w:pStyle w:val="a3"/>
        <w:spacing w:before="0" w:beforeAutospacing="0" w:after="225" w:afterAutospacing="0"/>
        <w:jc w:val="right"/>
        <w:rPr>
          <w:sz w:val="27"/>
          <w:szCs w:val="27"/>
        </w:rPr>
      </w:pPr>
      <w:r>
        <w:rPr>
          <w:rStyle w:val="a4"/>
          <w:sz w:val="27"/>
          <w:szCs w:val="27"/>
        </w:rPr>
        <w:t>Д. МЕРКУЛЕНКО</w:t>
      </w:r>
    </w:p>
    <w:p w:rsidR="008633AD" w:rsidRDefault="008633AD"/>
    <w:sectPr w:rsidR="00863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9D0"/>
    <w:rsid w:val="008633AD"/>
    <w:rsid w:val="009509D0"/>
    <w:rsid w:val="00A4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02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02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t-spec">
    <w:name w:val="bt-spec"/>
    <w:basedOn w:val="a0"/>
    <w:rsid w:val="00A4023F"/>
  </w:style>
  <w:style w:type="paragraph" w:styleId="a3">
    <w:name w:val="Normal (Web)"/>
    <w:basedOn w:val="a"/>
    <w:uiPriority w:val="99"/>
    <w:semiHidden/>
    <w:unhideWhenUsed/>
    <w:rsid w:val="00A40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4023F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4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02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02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02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t-spec">
    <w:name w:val="bt-spec"/>
    <w:basedOn w:val="a0"/>
    <w:rsid w:val="00A4023F"/>
  </w:style>
  <w:style w:type="paragraph" w:styleId="a3">
    <w:name w:val="Normal (Web)"/>
    <w:basedOn w:val="a"/>
    <w:uiPriority w:val="99"/>
    <w:semiHidden/>
    <w:unhideWhenUsed/>
    <w:rsid w:val="00A40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4023F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4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02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416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33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9769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23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235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2281</Words>
  <Characters>13003</Characters>
  <Application>Microsoft Office Word</Application>
  <DocSecurity>0</DocSecurity>
  <Lines>108</Lines>
  <Paragraphs>30</Paragraphs>
  <ScaleCrop>false</ScaleCrop>
  <Company/>
  <LinksUpToDate>false</LinksUpToDate>
  <CharactersWithSpaces>15254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Д.И. Шанауров</dc:creator>
  <cp:lastModifiedBy>Д.И. Шанауров</cp:lastModifiedBy>
  <cp:revision>3</cp:revision>
  <dcterms:created xsi:type="dcterms:W3CDTF">2024-12-02T07:29:00Z</dcterms:created>
  <dcterms:modified xsi:type="dcterms:W3CDTF">2024-12-02T07:31:00Z</dcterms:modified>
</cp:coreProperties>
</file>