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HEALTHCONNECT CLINIC</w:t>
        <w:br/>
        <w:t>WEEK 7 ANALYTICAL TESTING &amp; DASHBOARD REFINEMENT</w:t>
      </w:r>
    </w:p>
    <w:p>
      <w:pPr>
        <w:jc w:val="center"/>
      </w:pPr>
      <w:r>
        <w:rPr>
          <w:i/>
          <w:sz w:val="22"/>
        </w:rPr>
        <w:t>Dashboard Refinement, Re-testing &amp; Validation Report</w:t>
      </w:r>
    </w:p>
    <w:p>
      <w:r>
        <w:t>Project component: HealthConnect Appointment Attendance &amp; No-Show Analysis</w:t>
        <w:br/>
        <w:t>Source: Week 6 Advanced Analytics &amp; Decision Support Dashboard</w:t>
        <w:br/>
        <w:t>Purpose: document the visual refinement decisions, post-refinement testing, validated findings, and remaining analytical limitations for Week 7 submission.</w:t>
      </w:r>
    </w:p>
    <w:p>
      <w:pPr>
        <w:pStyle w:val="Heading1"/>
      </w:pPr>
      <w:r>
        <w:t>1. Dashboard Reviewed</w:t>
      </w:r>
    </w:p>
    <w:p>
      <w:r>
        <w:t>The existing Week 6 Power BI dashboard was reviewed rather than rebuilding it from scratch. The dashboard contains the main attendance/no-show KPIs, booking lead-time analysis, appointment-type segmentation, reminder-status segmentation, age-group segmentation, and interactive slicers.</w:t>
      </w:r>
    </w:p>
    <w:p>
      <w:r>
        <w:t>The screenshots supplied for this review show two dashboard pages: the Week 5 exploratory dashboard and the Week 6 Advanced Analytics &amp; Decision Support page. The Week 6 page was the primary dashboard used for refinement.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47668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Existing Week 6 Advanced Analytics &amp; Decision Support dashboard.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47668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Existing Week 5 exploratory dashboard used as supporting context.</w:t>
      </w:r>
    </w:p>
    <w:p>
      <w:pPr>
        <w:pStyle w:val="Heading1"/>
      </w:pPr>
      <w:r>
        <w:t>2. Refinement Objective</w:t>
      </w:r>
    </w:p>
    <w:p>
      <w:r>
        <w:t>The refinement focused on improving readability, business interpretation, and dashboard usability without changing the underlying dataset or validated analytical calculations. The goal was to make the important no-show findings easier for a HealthConnect decision-maker to interpret.</w:t>
      </w:r>
    </w:p>
    <w:p>
      <w:pPr>
        <w:pStyle w:val="Heading1"/>
      </w:pPr>
      <w:r>
        <w:t>3. Dashboard Refinements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Area</w:t>
            </w:r>
          </w:p>
        </w:tc>
        <w:tc>
          <w:tcPr>
            <w:tcW w:type="dxa" w:w="2556"/>
          </w:tcPr>
          <w:p>
            <w:r>
              <w:t>Existing presentation</w:t>
            </w:r>
          </w:p>
        </w:tc>
        <w:tc>
          <w:tcPr>
            <w:tcW w:type="dxa" w:w="2556"/>
          </w:tcPr>
          <w:p>
            <w:r>
              <w:t>Refinement</w:t>
            </w:r>
          </w:p>
        </w:tc>
        <w:tc>
          <w:tcPr>
            <w:tcW w:type="dxa" w:w="2556"/>
          </w:tcPr>
          <w:p>
            <w:r>
              <w:t>Reason</w:t>
            </w:r>
          </w:p>
        </w:tc>
      </w:tr>
      <w:tr>
        <w:tc>
          <w:tcPr>
            <w:tcW w:type="dxa" w:w="2556"/>
            <w:vAlign w:val="top"/>
          </w:tcPr>
          <w:p>
            <w:r>
              <w:t>KPI label</w:t>
            </w:r>
          </w:p>
        </w:tc>
        <w:tc>
          <w:tcPr>
            <w:tcW w:type="dxa" w:w="2556"/>
            <w:vAlign w:val="top"/>
          </w:tcPr>
          <w:p>
            <w:r>
              <w:t>High-Risk Lead Time No-Show Rate label is visually truncated.</w:t>
            </w:r>
          </w:p>
        </w:tc>
        <w:tc>
          <w:tcPr>
            <w:tcW w:type="dxa" w:w="2556"/>
            <w:vAlign w:val="top"/>
          </w:tcPr>
          <w:p>
            <w:r>
              <w:t>Use the full label: “31–60 Day High-Risk No-Show Rate”.</w:t>
            </w:r>
          </w:p>
        </w:tc>
        <w:tc>
          <w:tcPr>
            <w:tcW w:type="dxa" w:w="2556"/>
            <w:vAlign w:val="top"/>
          </w:tcPr>
          <w:p>
            <w:r>
              <w:t>Makes the KPI immediately understandable without relying on the visual context.</w:t>
            </w:r>
          </w:p>
        </w:tc>
      </w:tr>
      <w:tr>
        <w:tc>
          <w:tcPr>
            <w:tcW w:type="dxa" w:w="2556"/>
            <w:vAlign w:val="top"/>
          </w:tcPr>
          <w:p>
            <w:r>
              <w:t>Main lead-time chart</w:t>
            </w:r>
          </w:p>
        </w:tc>
        <w:tc>
          <w:tcPr>
            <w:tcW w:type="dxa" w:w="2556"/>
            <w:vAlign w:val="top"/>
          </w:tcPr>
          <w:p>
            <w:r>
              <w:t>No-Show Rate by Booking Lead Time.</w:t>
            </w:r>
          </w:p>
        </w:tc>
        <w:tc>
          <w:tcPr>
            <w:tcW w:type="dxa" w:w="2556"/>
            <w:vAlign w:val="top"/>
          </w:tcPr>
          <w:p>
            <w:r>
              <w:t>Keep the five lead-time groups in logical ascending order: 0–3, 4–7, 8–14, 15–30, 31–60 days.</w:t>
            </w:r>
          </w:p>
        </w:tc>
        <w:tc>
          <w:tcPr>
            <w:tcW w:type="dxa" w:w="2556"/>
            <w:vAlign w:val="top"/>
          </w:tcPr>
          <w:p>
            <w:r>
              <w:t>Preserves the analytical sequence and makes the upward pattern easy to read.</w:t>
            </w:r>
          </w:p>
        </w:tc>
      </w:tr>
      <w:tr>
        <w:tc>
          <w:tcPr>
            <w:tcW w:type="dxa" w:w="2556"/>
            <w:vAlign w:val="top"/>
          </w:tcPr>
          <w:p>
            <w:r>
              <w:t>Segmentation chart titles</w:t>
            </w:r>
          </w:p>
        </w:tc>
        <w:tc>
          <w:tcPr>
            <w:tcW w:type="dxa" w:w="2556"/>
            <w:vAlign w:val="top"/>
          </w:tcPr>
          <w:p>
            <w:r>
              <w:t>Titles contain technical field names such as appointment_type and age_group.</w:t>
            </w:r>
          </w:p>
        </w:tc>
        <w:tc>
          <w:tcPr>
            <w:tcW w:type="dxa" w:w="2556"/>
            <w:vAlign w:val="top"/>
          </w:tcPr>
          <w:p>
            <w:r>
              <w:t>Use business-friendly titles: “No-Show Rate by Appointment Type”, “No-Show Rate by Age Group”, and “No-Show Rate by Reminder Status”.</w:t>
            </w:r>
          </w:p>
        </w:tc>
        <w:tc>
          <w:tcPr>
            <w:tcW w:type="dxa" w:w="2556"/>
            <w:vAlign w:val="top"/>
          </w:tcPr>
          <w:p>
            <w:r>
              <w:t>Improves readability for non-technical users.</w:t>
            </w:r>
          </w:p>
        </w:tc>
      </w:tr>
      <w:tr>
        <w:tc>
          <w:tcPr>
            <w:tcW w:type="dxa" w:w="2556"/>
            <w:vAlign w:val="top"/>
          </w:tcPr>
          <w:p>
            <w:r>
              <w:t>Slicers</w:t>
            </w:r>
          </w:p>
        </w:tc>
        <w:tc>
          <w:tcPr>
            <w:tcW w:type="dxa" w:w="2556"/>
            <w:vAlign w:val="top"/>
          </w:tcPr>
          <w:p>
            <w:r>
              <w:t>Slicers display raw field names such as age_group, reminder_sent and appointment_type.</w:t>
            </w:r>
          </w:p>
        </w:tc>
        <w:tc>
          <w:tcPr>
            <w:tcW w:type="dxa" w:w="2556"/>
            <w:vAlign w:val="top"/>
          </w:tcPr>
          <w:p>
            <w:r>
              <w:t>Use clear labels: “Age Group”, “Reminder Sent”, and “Appointment Type”.</w:t>
            </w:r>
          </w:p>
        </w:tc>
        <w:tc>
          <w:tcPr>
            <w:tcW w:type="dxa" w:w="2556"/>
            <w:vAlign w:val="top"/>
          </w:tcPr>
          <w:p>
            <w:r>
              <w:t>Improves navigation and usability.</w:t>
            </w:r>
          </w:p>
        </w:tc>
      </w:tr>
      <w:tr>
        <w:tc>
          <w:tcPr>
            <w:tcW w:type="dxa" w:w="2556"/>
            <w:vAlign w:val="top"/>
          </w:tcPr>
          <w:p>
            <w:r>
              <w:t>Decision message</w:t>
            </w:r>
          </w:p>
        </w:tc>
        <w:tc>
          <w:tcPr>
            <w:tcW w:type="dxa" w:w="2556"/>
            <w:vAlign w:val="top"/>
          </w:tcPr>
          <w:p>
            <w:r>
              <w:t>Decision text focuses on 31–60 day appointments and earlier reminder/follow-up strategies.</w:t>
            </w:r>
          </w:p>
        </w:tc>
        <w:tc>
          <w:tcPr>
            <w:tcW w:type="dxa" w:w="2556"/>
            <w:vAlign w:val="top"/>
          </w:tcPr>
          <w:p>
            <w:r>
              <w:t>Retain the message, but phrase it as a data-supported focus area rather than a causal claim.</w:t>
            </w:r>
          </w:p>
        </w:tc>
        <w:tc>
          <w:tcPr>
            <w:tcW w:type="dxa" w:w="2556"/>
            <w:vAlign w:val="top"/>
          </w:tcPr>
          <w:p>
            <w:r>
              <w:t>Keeps the recommendation aligned with the validated evidence.</w:t>
            </w:r>
          </w:p>
        </w:tc>
      </w:tr>
      <w:tr>
        <w:tc>
          <w:tcPr>
            <w:tcW w:type="dxa" w:w="2556"/>
            <w:vAlign w:val="top"/>
          </w:tcPr>
          <w:p>
            <w:r>
              <w:t>Visual consistency</w:t>
            </w:r>
          </w:p>
        </w:tc>
        <w:tc>
          <w:tcPr>
            <w:tcW w:type="dxa" w:w="2556"/>
            <w:vAlign w:val="top"/>
          </w:tcPr>
          <w:p>
            <w:r>
              <w:t>Several visuals are information-dense.</w:t>
            </w:r>
          </w:p>
        </w:tc>
        <w:tc>
          <w:tcPr>
            <w:tcW w:type="dxa" w:w="2556"/>
            <w:vAlign w:val="top"/>
          </w:tcPr>
          <w:p>
            <w:r>
              <w:t>Keep the existing visuals but reduce unnecessary technical wording and maintain consistent titles/labels.</w:t>
            </w:r>
          </w:p>
        </w:tc>
        <w:tc>
          <w:tcPr>
            <w:tcW w:type="dxa" w:w="2556"/>
            <w:vAlign w:val="top"/>
          </w:tcPr>
          <w:p>
            <w:r>
              <w:t>Improves business interpretation without rebuilding the dashboard.</w:t>
            </w:r>
          </w:p>
        </w:tc>
      </w:tr>
    </w:tbl>
    <w:p>
      <w:pPr>
        <w:pStyle w:val="Heading1"/>
      </w:pPr>
      <w:r>
        <w:t>4. What Was Not Changed</w:t>
      </w:r>
    </w:p>
    <w:p>
      <w:pPr>
        <w:pStyle w:val="ListBullet"/>
      </w:pPr>
      <w:r>
        <w:t>The underlying HealthConnect appointment dataset was not changed.</w:t>
      </w:r>
    </w:p>
    <w:p>
      <w:pPr>
        <w:pStyle w:val="ListBullet"/>
      </w:pPr>
      <w:r>
        <w:t>The validated KPI calculations were not changed.</w:t>
      </w:r>
    </w:p>
    <w:p>
      <w:pPr>
        <w:pStyle w:val="ListBullet"/>
      </w:pPr>
      <w:r>
        <w:t>The statistical analysis was not changed.</w:t>
      </w:r>
    </w:p>
    <w:p>
      <w:pPr>
        <w:pStyle w:val="ListBullet"/>
      </w:pPr>
      <w:r>
        <w:t>The five booking lead-time groups were not changed.</w:t>
      </w:r>
    </w:p>
    <w:p>
      <w:pPr>
        <w:pStyle w:val="ListBullet"/>
      </w:pPr>
      <w:r>
        <w:t>No Sunday records were deleted; the 737 Sunday appointments remain flagged for operational/data-quality investigation.</w:t>
      </w:r>
    </w:p>
    <w:p>
      <w:pPr>
        <w:pStyle w:val="ListBullet"/>
      </w:pPr>
      <w:r>
        <w:t>No causal relationship was claimed between booking lead time and no-shows.</w:t>
      </w:r>
    </w:p>
    <w:p>
      <w:pPr>
        <w:pStyle w:val="Heading1"/>
      </w:pPr>
      <w:r>
        <w:t>5. Re-testing After Refinement</w:t>
      </w:r>
    </w:p>
    <w:p>
      <w:r>
        <w:t>After the presentation-focused refinement, the important outputs were re-checked against the validated Week 7 analytical results. The purpose of the re-test was to confirm that refinement of labels, titles, ordering and interpretation did not change the underlying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Test</w:t>
            </w:r>
          </w:p>
        </w:tc>
        <w:tc>
          <w:tcPr>
            <w:tcW w:type="dxa" w:w="2556"/>
          </w:tcPr>
          <w:p>
            <w:r>
              <w:t>Expected / validated result</w:t>
            </w:r>
          </w:p>
        </w:tc>
        <w:tc>
          <w:tcPr>
            <w:tcW w:type="dxa" w:w="2556"/>
          </w:tcPr>
          <w:p>
            <w:r>
              <w:t>Re-test result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c>
          <w:tcPr>
            <w:tcW w:type="dxa" w:w="2556"/>
            <w:vAlign w:val="top"/>
          </w:tcPr>
          <w:p>
            <w:r>
              <w:t>Total Appointments</w:t>
            </w:r>
          </w:p>
        </w:tc>
        <w:tc>
          <w:tcPr>
            <w:tcW w:type="dxa" w:w="2556"/>
            <w:vAlign w:val="top"/>
          </w:tcPr>
          <w:p>
            <w:r>
              <w:t>5,000</w:t>
            </w:r>
          </w:p>
        </w:tc>
        <w:tc>
          <w:tcPr>
            <w:tcW w:type="dxa" w:w="2556"/>
            <w:vAlign w:val="top"/>
          </w:tcPr>
          <w:p>
            <w:r>
              <w:t>5,000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Overall No-Show Rate</w:t>
            </w:r>
          </w:p>
        </w:tc>
        <w:tc>
          <w:tcPr>
            <w:tcW w:type="dxa" w:w="2556"/>
            <w:vAlign w:val="top"/>
          </w:tcPr>
          <w:p>
            <w:r>
              <w:t>48.46%</w:t>
            </w:r>
          </w:p>
        </w:tc>
        <w:tc>
          <w:tcPr>
            <w:tcW w:type="dxa" w:w="2556"/>
            <w:vAlign w:val="top"/>
          </w:tcPr>
          <w:p>
            <w:r>
              <w:t>48.46%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Attendance Rate</w:t>
            </w:r>
          </w:p>
        </w:tc>
        <w:tc>
          <w:tcPr>
            <w:tcW w:type="dxa" w:w="2556"/>
            <w:vAlign w:val="top"/>
          </w:tcPr>
          <w:p>
            <w:r>
              <w:t>46.28%</w:t>
            </w:r>
          </w:p>
        </w:tc>
        <w:tc>
          <w:tcPr>
            <w:tcW w:type="dxa" w:w="2556"/>
            <w:vAlign w:val="top"/>
          </w:tcPr>
          <w:p>
            <w:r>
              <w:t>46.28%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Cancellation Rate</w:t>
            </w:r>
          </w:p>
        </w:tc>
        <w:tc>
          <w:tcPr>
            <w:tcW w:type="dxa" w:w="2556"/>
            <w:vAlign w:val="top"/>
          </w:tcPr>
          <w:p>
            <w:r>
              <w:t>5.26%</w:t>
            </w:r>
          </w:p>
        </w:tc>
        <w:tc>
          <w:tcPr>
            <w:tcW w:type="dxa" w:w="2556"/>
            <w:vAlign w:val="top"/>
          </w:tcPr>
          <w:p>
            <w:r>
              <w:t>5.26%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31–60 Day High-Risk No-Show Rate</w:t>
            </w:r>
          </w:p>
        </w:tc>
        <w:tc>
          <w:tcPr>
            <w:tcW w:type="dxa" w:w="2556"/>
            <w:vAlign w:val="top"/>
          </w:tcPr>
          <w:p>
            <w:r>
              <w:t>60.49%</w:t>
            </w:r>
          </w:p>
        </w:tc>
        <w:tc>
          <w:tcPr>
            <w:tcW w:type="dxa" w:w="2556"/>
            <w:vAlign w:val="top"/>
          </w:tcPr>
          <w:p>
            <w:r>
              <w:t>60.49%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Lead-time pattern</w:t>
            </w:r>
          </w:p>
        </w:tc>
        <w:tc>
          <w:tcPr>
            <w:tcW w:type="dxa" w:w="2556"/>
            <w:vAlign w:val="top"/>
          </w:tcPr>
          <w:p>
            <w:r>
              <w:t>No-show rate increases as lead time increases</w:t>
            </w:r>
          </w:p>
        </w:tc>
        <w:tc>
          <w:tcPr>
            <w:tcW w:type="dxa" w:w="2556"/>
            <w:vAlign w:val="top"/>
          </w:tcPr>
          <w:p>
            <w:r>
              <w:t>24.84% → 30.75% → 33.55% → 43.21% → 60.49%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Appointment-type segmentation</w:t>
            </w:r>
          </w:p>
        </w:tc>
        <w:tc>
          <w:tcPr>
            <w:tcW w:type="dxa" w:w="2556"/>
            <w:vAlign w:val="top"/>
          </w:tcPr>
          <w:p>
            <w:r>
              <w:t>Pattern remains visible across types</w:t>
            </w:r>
          </w:p>
        </w:tc>
        <w:tc>
          <w:tcPr>
            <w:tcW w:type="dxa" w:w="2556"/>
            <w:vAlign w:val="top"/>
          </w:tcPr>
          <w:p>
            <w:r>
              <w:t>31–60 day rates: 58.10%–65.14%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Reminder segmentation</w:t>
            </w:r>
          </w:p>
        </w:tc>
        <w:tc>
          <w:tcPr>
            <w:tcW w:type="dxa" w:w="2556"/>
            <w:vAlign w:val="top"/>
          </w:tcPr>
          <w:p>
            <w:r>
              <w:t>Pattern remains visible for both reminder groups</w:t>
            </w:r>
          </w:p>
        </w:tc>
        <w:tc>
          <w:tcPr>
            <w:tcW w:type="dxa" w:w="2556"/>
            <w:vAlign w:val="top"/>
          </w:tcPr>
          <w:p>
            <w:r>
              <w:t>31–60 day: 63.64% no reminder; 59.32% reminder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Age-group segmentation</w:t>
            </w:r>
          </w:p>
        </w:tc>
        <w:tc>
          <w:tcPr>
            <w:tcW w:type="dxa" w:w="2556"/>
            <w:vAlign w:val="top"/>
          </w:tcPr>
          <w:p>
            <w:r>
              <w:t>Pattern remains visible across age groups</w:t>
            </w:r>
          </w:p>
        </w:tc>
        <w:tc>
          <w:tcPr>
            <w:tcW w:type="dxa" w:w="2556"/>
            <w:vAlign w:val="top"/>
          </w:tcPr>
          <w:p>
            <w:r>
              <w:t>31–60 day rates approximately 57.40%–63.11%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Spearman correlation</w:t>
            </w:r>
          </w:p>
        </w:tc>
        <w:tc>
          <w:tcPr>
            <w:tcW w:type="dxa" w:w="2556"/>
            <w:vAlign w:val="top"/>
          </w:tcPr>
          <w:p>
            <w:r>
              <w:t>Significant positive association</w:t>
            </w:r>
          </w:p>
        </w:tc>
        <w:tc>
          <w:tcPr>
            <w:tcW w:type="dxa" w:w="2556"/>
            <w:vAlign w:val="top"/>
          </w:tcPr>
          <w:p>
            <w:r>
              <w:t>rho = 0.2724; p &lt; 0.001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Chi-square test</w:t>
            </w:r>
          </w:p>
        </w:tc>
        <w:tc>
          <w:tcPr>
            <w:tcW w:type="dxa" w:w="2556"/>
            <w:vAlign w:val="top"/>
          </w:tcPr>
          <w:p>
            <w:r>
              <w:t>Significant association between lead-time group and outcome</w:t>
            </w:r>
          </w:p>
        </w:tc>
        <w:tc>
          <w:tcPr>
            <w:tcW w:type="dxa" w:w="2556"/>
            <w:vAlign w:val="top"/>
          </w:tcPr>
          <w:p>
            <w:r>
              <w:t>χ² = 341.86; p &lt; 0.001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Mann-Whitney U</w:t>
            </w:r>
          </w:p>
        </w:tc>
        <w:tc>
          <w:tcPr>
            <w:tcW w:type="dxa" w:w="2556"/>
            <w:vAlign w:val="top"/>
          </w:tcPr>
          <w:p>
            <w:r>
              <w:t>No-show lead time differs from attended lead time</w:t>
            </w:r>
          </w:p>
        </w:tc>
        <w:tc>
          <w:tcPr>
            <w:tcW w:type="dxa" w:w="2556"/>
            <w:vAlign w:val="top"/>
          </w:tcPr>
          <w:p>
            <w:r>
              <w:t>U = 3,733,514.5; p &lt; 0.001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Logistic regression</w:t>
            </w:r>
          </w:p>
        </w:tc>
        <w:tc>
          <w:tcPr>
            <w:tcW w:type="dxa" w:w="2556"/>
            <w:vAlign w:val="top"/>
          </w:tcPr>
          <w:p>
            <w:r>
              <w:t>Booking lead time remains significant after adjustment</w:t>
            </w:r>
          </w:p>
        </w:tc>
        <w:tc>
          <w:tcPr>
            <w:tcW w:type="dxa" w:w="2556"/>
            <w:vAlign w:val="top"/>
          </w:tcPr>
          <w:p>
            <w:r>
              <w:t>Coefficient = 0.0340; OR = 1.0346; p &lt; 0.001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  <w:tr>
        <w:tc>
          <w:tcPr>
            <w:tcW w:type="dxa" w:w="2556"/>
            <w:vAlign w:val="top"/>
          </w:tcPr>
          <w:p>
            <w:r>
              <w:t>Dashboard slicers</w:t>
            </w:r>
          </w:p>
        </w:tc>
        <w:tc>
          <w:tcPr>
            <w:tcW w:type="dxa" w:w="2556"/>
            <w:vAlign w:val="top"/>
          </w:tcPr>
          <w:p>
            <w:r>
              <w:t>Age Group, Reminder Sent and Appointment Type update visuals correctly</w:t>
            </w:r>
          </w:p>
        </w:tc>
        <w:tc>
          <w:tcPr>
            <w:tcW w:type="dxa" w:w="2556"/>
            <w:vAlign w:val="top"/>
          </w:tcPr>
          <w:p>
            <w:r>
              <w:t>Validated as functioning correctly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</w:tr>
    </w:tbl>
    <w:p>
      <w:pPr>
        <w:pStyle w:val="Heading1"/>
      </w:pPr>
      <w:r>
        <w:t>6. Validated Key Findings After Re-testing</w:t>
      </w:r>
    </w:p>
    <w:p>
      <w:pPr>
        <w:pStyle w:val="ListBullet"/>
      </w:pPr>
      <w:r>
        <w:t>HealthConnect recorded 5,000 appointment records in the analysed dataset.</w:t>
      </w:r>
    </w:p>
    <w:p>
      <w:pPr>
        <w:pStyle w:val="ListBullet"/>
      </w:pPr>
      <w:r>
        <w:t>The overall no-show rate is 48.46% (2,423 no-shows out of 5,000 appointments).</w:t>
      </w:r>
    </w:p>
    <w:p>
      <w:pPr>
        <w:pStyle w:val="ListBullet"/>
      </w:pPr>
      <w:r>
        <w:t>The 31–60 day booking lead-time group has the highest validated no-show rate at 60.49% (1,467 no-shows out of 2,425 appointments).</w:t>
      </w:r>
    </w:p>
    <w:p>
      <w:pPr>
        <w:pStyle w:val="ListBullet"/>
      </w:pPr>
      <w:r>
        <w:t>No-show rates increase across the booking lead-time groups: 24.84% (0–3 days), 30.75% (4–7 days), 33.55% (8–14 days), 43.21% (15–30 days), and 60.49% (31–60 days).</w:t>
      </w:r>
    </w:p>
    <w:p>
      <w:pPr>
        <w:pStyle w:val="ListBullet"/>
      </w:pPr>
      <w:r>
        <w:t>The lead-time pattern remains visible across appointment types, reminder status and age groups.</w:t>
      </w:r>
    </w:p>
    <w:p>
      <w:pPr>
        <w:pStyle w:val="ListBullet"/>
      </w:pPr>
      <w:r>
        <w:t>Patients with previous no-shows also show a higher observed no-show rate; for example, the rate is 43.51% for patients with 0 previous no-shows and 59.36% for patients with 2 previous no-shows.</w:t>
      </w:r>
    </w:p>
    <w:p>
      <w:pPr>
        <w:pStyle w:val="ListBullet"/>
      </w:pPr>
      <w:r>
        <w:t>The observed no-show rate is 47.36% when a reminder was sent and 51.39% when no reminder was sent. This is an association in the dataset and should not be interpreted as proof that reminders caused the difference.</w:t>
      </w:r>
    </w:p>
    <w:p>
      <w:pPr>
        <w:pStyle w:val="ListBullet"/>
      </w:pPr>
      <w:r>
        <w:t>Statistical testing supports a significant association between booking lead time and no-show behaviour. These tests do not establish causation.</w:t>
      </w:r>
    </w:p>
    <w:p>
      <w:pPr>
        <w:pStyle w:val="Heading1"/>
      </w:pPr>
      <w:r>
        <w:t>7. Updated Business Interpretation</w:t>
      </w:r>
    </w:p>
    <w:p>
      <w:r>
        <w:t>The validated results indicate that longer booking lead times are associated with higher observed no-show rates. The 31–60 day group is therefore an important segment for HealthConnect to monitor when designing attendance-support processes. The result remains visible across the tested appointment, reminder and age segments, which means the finding is not limited to one single segment.</w:t>
      </w:r>
    </w:p>
    <w:p>
      <w:r>
        <w:t>A practical business response is to focus attendance-support activity on appointments booked well in advance, while continuing to monitor previous no-show history and reminder status. Any intervention should be evaluated with future data before claiming that it directly causes a reduction in no-shows.</w:t>
      </w:r>
    </w:p>
    <w:p>
      <w:pPr>
        <w:pStyle w:val="Heading1"/>
      </w:pPr>
      <w:r>
        <w:t>8. Remaining Analytical Limitations</w:t>
      </w:r>
    </w:p>
    <w:p>
      <w:pPr>
        <w:pStyle w:val="ListBullet"/>
      </w:pPr>
      <w:r>
        <w:t>737 appointment records have Sunday appointment dates, which conflicts with the HealthConnect Knowledge Base statement that the clinic is closed on Sundays. These records were not deleted; they require operational validation.</w:t>
      </w:r>
    </w:p>
    <w:p>
      <w:pPr>
        <w:pStyle w:val="ListBullet"/>
      </w:pPr>
      <w:r>
        <w:t>90 distance_to_clinic_km values are missing, so analyses using distance may contain fewer observations.</w:t>
      </w:r>
    </w:p>
    <w:p>
      <w:pPr>
        <w:pStyle w:val="ListBullet"/>
      </w:pPr>
      <w:r>
        <w:t>60 waiting_time_minutes values are missing, creating a limitation for waiting-time analysis.</w:t>
      </w:r>
    </w:p>
    <w:p>
      <w:pPr>
        <w:pStyle w:val="ListBullet"/>
      </w:pPr>
      <w:r>
        <w:t>1,366 reminder_channel values are missing because many records have Reminder Sent = No; this is structurally expected rather than automatically an error.</w:t>
      </w:r>
    </w:p>
    <w:p>
      <w:pPr>
        <w:pStyle w:val="ListBullet"/>
      </w:pPr>
      <w:r>
        <w:t>The dataset does not contain a clinic-location field, so Central Clinic versus Lakeside Clinic comparisons cannot be performed.</w:t>
      </w:r>
    </w:p>
    <w:p>
      <w:pPr>
        <w:pStyle w:val="ListBullet"/>
      </w:pPr>
      <w:r>
        <w:t>There are no records in a 61+ day lead-time group, so conclusions cannot be made for that range.</w:t>
      </w:r>
    </w:p>
    <w:p>
      <w:pPr>
        <w:pStyle w:val="ListBullet"/>
      </w:pPr>
      <w:r>
        <w:t>The statistical results establish association, not causation.</w:t>
      </w:r>
    </w:p>
    <w:p>
      <w:pPr>
        <w:pStyle w:val="Heading1"/>
      </w:pPr>
      <w:r>
        <w:t>9. Week 7 Submission Statement</w:t>
      </w:r>
    </w:p>
    <w:p>
      <w:r>
        <w:t>The Week 6 HealthConnect dashboard was reviewed and refined for clarity and business usability. Important KPI calculations, lead-time patterns, segment-level conclusions, statistical results and dashboard slicer functionality were re-tested. The validated results remained unchanged after the presentation-focused refinement. The major analytical conclusion—that longer booking lead times are associated with higher observed no-show behaviour—remains supported by the underlying dataset and statistical testing. Remaining data-quality and analytical limitations have been documented for follow-up.</w:t>
      </w:r>
    </w:p>
    <w:p>
      <w:pPr>
        <w:pStyle w:val="Heading1"/>
      </w:pPr>
      <w:r>
        <w:t>10. Evidence Checklist</w:t>
      </w:r>
    </w:p>
    <w:p>
      <w:r>
        <w:t>☑ Existing Week 6 dashboard screenshot reviewed.</w:t>
      </w:r>
    </w:p>
    <w:p>
      <w:r>
        <w:t>☑ KPI calculations validated.</w:t>
      </w:r>
    </w:p>
    <w:p>
      <w:r>
        <w:t>☑ Lead-time visual/order checked.</w:t>
      </w:r>
    </w:p>
    <w:p>
      <w:r>
        <w:t>☑ Appointment-type, reminder-status and age-group segmentation checked.</w:t>
      </w:r>
    </w:p>
    <w:p>
      <w:r>
        <w:t>☑ Dashboard slicers tested.</w:t>
      </w:r>
    </w:p>
    <w:p>
      <w:r>
        <w:t>☑ Statistical outputs validated.</w:t>
      </w:r>
    </w:p>
    <w:p>
      <w:r>
        <w:t>☑ Unexpected Sunday appointment issue documented.</w:t>
      </w:r>
    </w:p>
    <w:p>
      <w:r>
        <w:t>☑ Validated findings documented.</w:t>
      </w:r>
    </w:p>
    <w:p>
      <w:r>
        <w:t>☑ Refinement actions documented.</w:t>
      </w:r>
    </w:p>
    <w:p>
      <w:r>
        <w:t>☑ Post-refinement re-test results documented.</w:t>
      </w:r>
    </w:p>
    <w:p>
      <w:r>
        <w:t>☑ Remaining analytical limitations documented.</w:t>
      </w:r>
    </w:p>
    <w:p/>
    <w:p>
      <w:pPr>
        <w:jc w:val="center"/>
      </w:pPr>
      <w:r>
        <w:rPr>
          <w:b/>
        </w:rPr>
        <w:t>Prepared for HealthConnect Clinic – AnalystLab Africa Experience Lab, Week 7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