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HealthConnect Clinic</w:t>
        <w:br/>
        <w:t>Week 7 – Part 2: Data Analytics Testing</w:t>
      </w:r>
    </w:p>
    <w:p>
      <w:pPr>
        <w:jc w:val="center"/>
      </w:pPr>
      <w:r>
        <w:rPr>
          <w:rFonts w:ascii="Aptos" w:hAnsi="Aptos"/>
          <w:i/>
          <w:sz w:val="20"/>
        </w:rPr>
        <w:t>Testing and Validation of Week 6 Advanced Analytics &amp; Decision Support</w:t>
      </w:r>
    </w:p>
    <w:p>
      <w:pPr>
        <w:pStyle w:val="Heading1"/>
      </w:pPr>
      <w:r>
        <w:rPr>
          <w:rFonts w:ascii="Aptos" w:hAnsi="Aptos"/>
          <w:sz w:val="21"/>
        </w:rPr>
        <w:t>Part 2A — KPI Calculation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Item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  <w:vAlign w:val="center"/>
          </w:tcPr>
          <w:p>
            <w:r>
              <w:t>Total Appointments</w:t>
            </w:r>
          </w:p>
        </w:tc>
        <w:tc>
          <w:tcPr>
            <w:tcW w:type="dxa" w:w="2160"/>
            <w:vAlign w:val="center"/>
          </w:tcPr>
          <w:p>
            <w:r>
              <w:t>5,000</w:t>
            </w:r>
          </w:p>
        </w:tc>
        <w:tc>
          <w:tcPr>
            <w:tcW w:type="dxa" w:w="2160"/>
            <w:vAlign w:val="center"/>
          </w:tcPr>
          <w:p>
            <w:r>
              <w:t>5,000</w:t>
            </w:r>
          </w:p>
        </w:tc>
        <w:tc>
          <w:tcPr>
            <w:tcW w:type="dxa" w:w="2160"/>
            <w:vAlign w:val="center"/>
          </w:tcPr>
          <w:p>
            <w: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>
              <w:t>Overall No-Show Rate</w:t>
            </w:r>
          </w:p>
        </w:tc>
        <w:tc>
          <w:tcPr>
            <w:tcW w:type="dxa" w:w="2160"/>
            <w:vAlign w:val="center"/>
          </w:tcPr>
          <w:p>
            <w:r>
              <w:t>48.46%</w:t>
            </w:r>
          </w:p>
        </w:tc>
        <w:tc>
          <w:tcPr>
            <w:tcW w:type="dxa" w:w="2160"/>
            <w:vAlign w:val="center"/>
          </w:tcPr>
          <w:p>
            <w:r>
              <w:t>48.46%</w:t>
            </w:r>
          </w:p>
        </w:tc>
        <w:tc>
          <w:tcPr>
            <w:tcW w:type="dxa" w:w="2160"/>
            <w:vAlign w:val="center"/>
          </w:tcPr>
          <w:p>
            <w: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>
              <w:t>High-Risk Lead Time No-Show Rate</w:t>
            </w:r>
          </w:p>
        </w:tc>
        <w:tc>
          <w:tcPr>
            <w:tcW w:type="dxa" w:w="2160"/>
            <w:vAlign w:val="center"/>
          </w:tcPr>
          <w:p>
            <w:r>
              <w:t>60.49%</w:t>
            </w:r>
          </w:p>
        </w:tc>
        <w:tc>
          <w:tcPr>
            <w:tcW w:type="dxa" w:w="2160"/>
            <w:vAlign w:val="center"/>
          </w:tcPr>
          <w:p>
            <w:r>
              <w:t>60.49%</w:t>
            </w:r>
          </w:p>
        </w:tc>
        <w:tc>
          <w:tcPr>
            <w:tcW w:type="dxa" w:w="2160"/>
            <w:vAlign w:val="center"/>
          </w:tcPr>
          <w:p>
            <w: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>
              <w:t>Attendance Rate</w:t>
            </w:r>
          </w:p>
        </w:tc>
        <w:tc>
          <w:tcPr>
            <w:tcW w:type="dxa" w:w="2160"/>
            <w:vAlign w:val="center"/>
          </w:tcPr>
          <w:p>
            <w:r>
              <w:t>46.28%</w:t>
            </w:r>
          </w:p>
        </w:tc>
        <w:tc>
          <w:tcPr>
            <w:tcW w:type="dxa" w:w="2160"/>
            <w:vAlign w:val="center"/>
          </w:tcPr>
          <w:p>
            <w:r>
              <w:t>46.28%</w:t>
            </w:r>
          </w:p>
        </w:tc>
        <w:tc>
          <w:tcPr>
            <w:tcW w:type="dxa" w:w="2160"/>
            <w:vAlign w:val="center"/>
          </w:tcPr>
          <w:p>
            <w:r>
              <w:t>PASS</w:t>
            </w:r>
          </w:p>
        </w:tc>
      </w:tr>
      <w:tr>
        <w:tc>
          <w:tcPr>
            <w:tcW w:type="dxa" w:w="2160"/>
            <w:vAlign w:val="center"/>
          </w:tcPr>
          <w:p>
            <w:r>
              <w:t>Cancellation Rate</w:t>
            </w:r>
          </w:p>
        </w:tc>
        <w:tc>
          <w:tcPr>
            <w:tcW w:type="dxa" w:w="2160"/>
            <w:vAlign w:val="center"/>
          </w:tcPr>
          <w:p>
            <w:r>
              <w:t>5.26%</w:t>
            </w:r>
          </w:p>
        </w:tc>
        <w:tc>
          <w:tcPr>
            <w:tcW w:type="dxa" w:w="2160"/>
            <w:vAlign w:val="center"/>
          </w:tcPr>
          <w:p>
            <w:r>
              <w:t>5.26%</w:t>
            </w:r>
          </w:p>
        </w:tc>
        <w:tc>
          <w:tcPr>
            <w:tcW w:type="dxa" w:w="2160"/>
            <w:vAlign w:val="center"/>
          </w:tcPr>
          <w:p>
            <w:r>
              <w:t>PASS</w:t>
            </w:r>
          </w:p>
        </w:tc>
      </w:tr>
    </w:tbl>
    <w:p>
      <w:r>
        <w:rPr>
          <w:rFonts w:ascii="Aptos" w:hAnsi="Aptos"/>
          <w:sz w:val="21"/>
        </w:rPr>
        <w:t>KPI Validation Result: The key KPI values displayed on the HealthConnect Week 6 dashboard were compared with the expected analytical results. Total appointments, overall no-show rate, high-risk lead-time no-show rate, attendance rate, and cancellation rate all matched the expected values. Therefore, the KPI calculations were validated successfully and recorded as Pass.</w:t>
      </w:r>
    </w:p>
    <w:p>
      <w:pPr>
        <w:pStyle w:val="Heading1"/>
      </w:pPr>
      <w:r>
        <w:rPr>
          <w:rFonts w:ascii="Aptos" w:hAnsi="Aptos"/>
          <w:sz w:val="21"/>
        </w:rPr>
        <w:t>Part 2B — Lead-Time Analysis Testing</w:t>
      </w:r>
    </w:p>
    <w:p>
      <w:r>
        <w:rPr>
          <w:rFonts w:ascii="Aptos" w:hAnsi="Aptos"/>
          <w:sz w:val="21"/>
        </w:rPr>
        <w:t>The main Week 6 analytical finding was tested by comparing the expected no-show rates across booking lead-time groups with the dashboard visualization.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Lead-Time Group</w:t>
            </w:r>
          </w:p>
        </w:tc>
        <w:tc>
          <w:tcPr>
            <w:tcW w:type="dxa" w:w="2880"/>
          </w:tcPr>
          <w:p>
            <w:r>
              <w:t>Expected/Actual No-Show Rate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0–3 days</w:t>
            </w:r>
          </w:p>
        </w:tc>
        <w:tc>
          <w:tcPr>
            <w:tcW w:type="dxa" w:w="2880"/>
          </w:tcPr>
          <w:p>
            <w:r>
              <w:t>24.84%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4–7 days</w:t>
            </w:r>
          </w:p>
        </w:tc>
        <w:tc>
          <w:tcPr>
            <w:tcW w:type="dxa" w:w="2880"/>
          </w:tcPr>
          <w:p>
            <w:r>
              <w:t>30.75%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8–14 days</w:t>
            </w:r>
          </w:p>
        </w:tc>
        <w:tc>
          <w:tcPr>
            <w:tcW w:type="dxa" w:w="2880"/>
          </w:tcPr>
          <w:p>
            <w:r>
              <w:t>33.55%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15–30 days</w:t>
            </w:r>
          </w:p>
        </w:tc>
        <w:tc>
          <w:tcPr>
            <w:tcW w:type="dxa" w:w="2880"/>
          </w:tcPr>
          <w:p>
            <w:r>
              <w:t>43.21%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31–60 days</w:t>
            </w:r>
          </w:p>
        </w:tc>
        <w:tc>
          <w:tcPr>
            <w:tcW w:type="dxa" w:w="2880"/>
          </w:tcPr>
          <w:p>
            <w:r>
              <w:t>60.49%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r>
        <w:rPr>
          <w:rFonts w:ascii="Aptos" w:hAnsi="Aptos"/>
          <w:sz w:val="21"/>
        </w:rPr>
        <w:t>Lead-Time Trend Validation Result: The dashboard shows a consistent increase in no-show rate as booking lead time increases, with the highest rate of 60.49% occurring among appointments booked 31–60 days in advance. The expected pattern was therefore confirmed.</w:t>
      </w:r>
    </w:p>
    <w:p>
      <w:pPr>
        <w:pStyle w:val="Heading1"/>
      </w:pPr>
      <w:r>
        <w:rPr>
          <w:rFonts w:ascii="Aptos" w:hAnsi="Aptos"/>
          <w:sz w:val="21"/>
        </w:rPr>
        <w:t>Part 2C — Segmentation Testing</w:t>
      </w:r>
    </w:p>
    <w:p>
      <w:pPr>
        <w:pStyle w:val="Heading2"/>
      </w:pPr>
      <w:r>
        <w:rPr>
          <w:rFonts w:ascii="Aptos" w:hAnsi="Aptos"/>
          <w:sz w:val="21"/>
        </w:rPr>
        <w:t>1. Appointment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Appointment Type</w:t>
            </w:r>
          </w:p>
        </w:tc>
        <w:tc>
          <w:tcPr>
            <w:tcW w:type="dxa" w:w="2880"/>
          </w:tcPr>
          <w:p>
            <w:r>
              <w:t>31–60 Days No-Show Rate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Diagnostic Test</w:t>
            </w:r>
          </w:p>
        </w:tc>
        <w:tc>
          <w:tcPr>
            <w:tcW w:type="dxa" w:w="2880"/>
          </w:tcPr>
          <w:p>
            <w:r>
              <w:t>59.55%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Follow-up</w:t>
            </w:r>
          </w:p>
        </w:tc>
        <w:tc>
          <w:tcPr>
            <w:tcW w:type="dxa" w:w="2880"/>
          </w:tcPr>
          <w:p>
            <w:r>
              <w:t>65.14%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General Consultation</w:t>
            </w:r>
          </w:p>
        </w:tc>
        <w:tc>
          <w:tcPr>
            <w:tcW w:type="dxa" w:w="2880"/>
          </w:tcPr>
          <w:p>
            <w:r>
              <w:t>58.10%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Specialist Consultation</w:t>
            </w:r>
          </w:p>
        </w:tc>
        <w:tc>
          <w:tcPr>
            <w:tcW w:type="dxa" w:w="2880"/>
          </w:tcPr>
          <w:p>
            <w:r>
              <w:t>59.18%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r>
        <w:rPr>
          <w:rFonts w:ascii="Aptos" w:hAnsi="Aptos"/>
          <w:sz w:val="21"/>
        </w:rPr>
        <w:t>Expected: The no-show rate should remain high in the 31–60 day lead-time group across appointment types. Actual results show a high rate across all four types. Status: PASS.</w:t>
      </w:r>
    </w:p>
    <w:p>
      <w:pPr>
        <w:pStyle w:val="Heading2"/>
      </w:pPr>
      <w:r>
        <w:rPr>
          <w:rFonts w:ascii="Aptos" w:hAnsi="Aptos"/>
          <w:sz w:val="21"/>
        </w:rPr>
        <w:t>2. Reminder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Lead Time</w:t>
            </w:r>
          </w:p>
        </w:tc>
        <w:tc>
          <w:tcPr>
            <w:tcW w:type="dxa" w:w="2880"/>
          </w:tcPr>
          <w:p>
            <w:r>
              <w:t>No Reminder</w:t>
            </w:r>
          </w:p>
        </w:tc>
        <w:tc>
          <w:tcPr>
            <w:tcW w:type="dxa" w:w="2880"/>
          </w:tcPr>
          <w:p>
            <w:r>
              <w:t>Reminder</w:t>
            </w:r>
          </w:p>
        </w:tc>
      </w:tr>
      <w:tr>
        <w:tc>
          <w:tcPr>
            <w:tcW w:type="dxa" w:w="2880"/>
          </w:tcPr>
          <w:p>
            <w:r>
              <w:t>0–3 days</w:t>
            </w:r>
          </w:p>
        </w:tc>
        <w:tc>
          <w:tcPr>
            <w:tcW w:type="dxa" w:w="2880"/>
          </w:tcPr>
          <w:p>
            <w:r>
              <w:t>28.74%</w:t>
            </w:r>
          </w:p>
        </w:tc>
        <w:tc>
          <w:tcPr>
            <w:tcW w:type="dxa" w:w="2880"/>
          </w:tcPr>
          <w:p>
            <w:r>
              <w:t>23.38%</w:t>
            </w:r>
          </w:p>
        </w:tc>
      </w:tr>
      <w:tr>
        <w:tc>
          <w:tcPr>
            <w:tcW w:type="dxa" w:w="2880"/>
          </w:tcPr>
          <w:p>
            <w:r>
              <w:t>4–7 days</w:t>
            </w:r>
          </w:p>
        </w:tc>
        <w:tc>
          <w:tcPr>
            <w:tcW w:type="dxa" w:w="2880"/>
          </w:tcPr>
          <w:p>
            <w:r>
              <w:t>31.25%</w:t>
            </w:r>
          </w:p>
        </w:tc>
        <w:tc>
          <w:tcPr>
            <w:tcW w:type="dxa" w:w="2880"/>
          </w:tcPr>
          <w:p>
            <w:r>
              <w:t>30.58%</w:t>
            </w:r>
          </w:p>
        </w:tc>
      </w:tr>
      <w:tr>
        <w:tc>
          <w:tcPr>
            <w:tcW w:type="dxa" w:w="2880"/>
          </w:tcPr>
          <w:p>
            <w:r>
              <w:t>8–14 days</w:t>
            </w:r>
          </w:p>
        </w:tc>
        <w:tc>
          <w:tcPr>
            <w:tcW w:type="dxa" w:w="2880"/>
          </w:tcPr>
          <w:p>
            <w:r>
              <w:t>34.78%</w:t>
            </w:r>
          </w:p>
        </w:tc>
        <w:tc>
          <w:tcPr>
            <w:tcW w:type="dxa" w:w="2880"/>
          </w:tcPr>
          <w:p>
            <w:r>
              <w:t>33.11%</w:t>
            </w:r>
          </w:p>
        </w:tc>
      </w:tr>
      <w:tr>
        <w:tc>
          <w:tcPr>
            <w:tcW w:type="dxa" w:w="2880"/>
          </w:tcPr>
          <w:p>
            <w:r>
              <w:t>15–30 days</w:t>
            </w:r>
          </w:p>
        </w:tc>
        <w:tc>
          <w:tcPr>
            <w:tcW w:type="dxa" w:w="2880"/>
          </w:tcPr>
          <w:p>
            <w:r>
              <w:t>46.56%</w:t>
            </w:r>
          </w:p>
        </w:tc>
        <w:tc>
          <w:tcPr>
            <w:tcW w:type="dxa" w:w="2880"/>
          </w:tcPr>
          <w:p>
            <w:r>
              <w:t>41.88%</w:t>
            </w:r>
          </w:p>
        </w:tc>
      </w:tr>
      <w:tr>
        <w:tc>
          <w:tcPr>
            <w:tcW w:type="dxa" w:w="2880"/>
          </w:tcPr>
          <w:p>
            <w:r>
              <w:t>31–60 days</w:t>
            </w:r>
          </w:p>
        </w:tc>
        <w:tc>
          <w:tcPr>
            <w:tcW w:type="dxa" w:w="2880"/>
          </w:tcPr>
          <w:p>
            <w:r>
              <w:t>63.64%</w:t>
            </w:r>
          </w:p>
        </w:tc>
        <w:tc>
          <w:tcPr>
            <w:tcW w:type="dxa" w:w="2880"/>
          </w:tcPr>
          <w:p>
            <w:r>
              <w:t>59.32%</w:t>
            </w:r>
          </w:p>
        </w:tc>
      </w:tr>
    </w:tbl>
    <w:p>
      <w:r>
        <w:rPr>
          <w:rFonts w:ascii="Aptos" w:hAnsi="Aptos"/>
          <w:sz w:val="21"/>
        </w:rPr>
        <w:t>Expected: The increasing lead-time pattern should remain visible for both patients who received reminders and those who did not. Actual results show increasing no-show rates in both groups, with the highest rates at 31–60 days. Status: PASS.</w:t>
      </w:r>
    </w:p>
    <w:p>
      <w:pPr>
        <w:pStyle w:val="Heading2"/>
      </w:pPr>
      <w:r>
        <w:rPr>
          <w:rFonts w:ascii="Aptos" w:hAnsi="Aptos"/>
          <w:sz w:val="21"/>
        </w:rPr>
        <w:t>3. Age Group</w:t>
      </w:r>
    </w:p>
    <w:p>
      <w:r>
        <w:rPr>
          <w:rFonts w:ascii="Aptos" w:hAnsi="Aptos"/>
          <w:sz w:val="21"/>
        </w:rPr>
        <w:t>Expected: The high no-show pattern at 31–60 days should remain visible across age groups.</w:t>
      </w:r>
    </w:p>
    <w:p>
      <w:r>
        <w:rPr>
          <w:rFonts w:ascii="Aptos" w:hAnsi="Aptos"/>
          <w:sz w:val="21"/>
        </w:rPr>
        <w:t>Actual: The 31–60 day no-show rates range from approximately 57.40% to 63.11% across the age groups.</w:t>
      </w:r>
    </w:p>
    <w:p>
      <w:r>
        <w:rPr>
          <w:rFonts w:ascii="Aptos" w:hAnsi="Aptos"/>
          <w:sz w:val="21"/>
        </w:rPr>
        <w:t>Status: PASS.</w:t>
      </w:r>
    </w:p>
    <w:p>
      <w:r>
        <w:rPr>
          <w:rFonts w:ascii="Aptos" w:hAnsi="Aptos"/>
          <w:sz w:val="21"/>
        </w:rPr>
        <w:t>Segmentation Validation Result: The booking lead-time pattern was tested across appointment type, reminder status, and age-group segments. The results consistently showed higher no-show rates among appointments booked 31–60 days in advance. The pattern remained visible across the different segments, supporting the consistency of the Week 6 analytical finding. All segmentation tests therefore passed.</w:t>
      </w:r>
    </w:p>
    <w:p>
      <w:pPr>
        <w:pStyle w:val="Heading1"/>
      </w:pPr>
      <w:r>
        <w:rPr>
          <w:rFonts w:ascii="Aptos" w:hAnsi="Aptos"/>
          <w:sz w:val="21"/>
        </w:rPr>
        <w:t>Part 2D — Statistical Validation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Statistical Test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Actual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Spearman Correlation</w:t>
            </w:r>
          </w:p>
        </w:tc>
        <w:tc>
          <w:tcPr>
            <w:tcW w:type="dxa" w:w="2160"/>
          </w:tcPr>
          <w:p>
            <w:r>
              <w:t>Booking lead time should have a meaningful positive relationship with no-show behaviour</w:t>
            </w:r>
          </w:p>
        </w:tc>
        <w:tc>
          <w:tcPr>
            <w:tcW w:type="dxa" w:w="2160"/>
          </w:tcPr>
          <w:p>
            <w:r>
              <w:t>ρ = 0.2724, p &lt; 0.001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Chi-Square Test</w:t>
            </w:r>
          </w:p>
        </w:tc>
        <w:tc>
          <w:tcPr>
            <w:tcW w:type="dxa" w:w="2160"/>
          </w:tcPr>
          <w:p>
            <w:r>
              <w:t>Booking lead-time group should be associated with appointment outcome</w:t>
            </w:r>
          </w:p>
        </w:tc>
        <w:tc>
          <w:tcPr>
            <w:tcW w:type="dxa" w:w="2160"/>
          </w:tcPr>
          <w:p>
            <w:r>
              <w:t>χ² = 341.86, p &lt; 0.001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Mann-Whitney U Test</w:t>
            </w:r>
          </w:p>
        </w:tc>
        <w:tc>
          <w:tcPr>
            <w:tcW w:type="dxa" w:w="2160"/>
          </w:tcPr>
          <w:p>
            <w:r>
              <w:t>Booking lead time should differ between No-Show and Attended appointments</w:t>
            </w:r>
          </w:p>
        </w:tc>
        <w:tc>
          <w:tcPr>
            <w:tcW w:type="dxa" w:w="2160"/>
          </w:tcPr>
          <w:p>
            <w:r>
              <w:t>U = 3,733,514.5, p &lt; 0.001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Logistic Regression</w:t>
            </w:r>
          </w:p>
        </w:tc>
        <w:tc>
          <w:tcPr>
            <w:tcW w:type="dxa" w:w="2160"/>
          </w:tcPr>
          <w:p>
            <w:r>
              <w:t>Booking lead time should remain statistically significant after adjusting for other factors</w:t>
            </w:r>
          </w:p>
        </w:tc>
        <w:tc>
          <w:tcPr>
            <w:tcW w:type="dxa" w:w="2160"/>
          </w:tcPr>
          <w:p>
            <w:r>
              <w:t>Coefficient = 0.0340, p &lt; 0.001, OR = 1.0346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rPr>
          <w:rFonts w:ascii="Aptos" w:hAnsi="Aptos"/>
          <w:sz w:val="21"/>
        </w:rPr>
        <w:t>Statistical Validation Result: The statistical tests conducted during Week 6 were reviewed as part of the testing process. Spearman correlation, chi-square, Mann-Whitney U, and logistic regression results were all statistically significant at p &lt; 0.001. These results provide consistent statistical support for the relationship between booking lead time and appointment no-show behaviour. The findings should be interpreted as an association rather than evidence of causation. All statistical validation tests therefore passed.</w:t>
      </w:r>
    </w:p>
    <w:p>
      <w:pPr>
        <w:pStyle w:val="Heading1"/>
      </w:pPr>
      <w:r>
        <w:rPr>
          <w:rFonts w:ascii="Aptos" w:hAnsi="Aptos"/>
          <w:sz w:val="21"/>
        </w:rPr>
        <w:t>Overall Part 2 Testing Summary</w:t>
      </w:r>
    </w:p>
    <w:p>
      <w:r>
        <w:rPr>
          <w:rFonts w:ascii="Aptos" w:hAnsi="Aptos"/>
          <w:sz w:val="21"/>
        </w:rPr>
        <w:t>The Week 6 analytical outputs were tested through KPI validation, lead-time trend testing, segmentation testing, and statistical validation. The expected results matched the observed analytical results across the completed tests. The findings therefore provide a validated foundation for the remaining Week 7 functional and evidence-based testing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