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وكلاء الذكاء الاصطناعي: مستقبل الأتمتة والنمو في دول مجلس التعاون الخليجي</w:t>
      </w:r>
    </w:p>
    <w:p>
      <w:pPr>
        <w:pStyle w:val="Heading2"/>
        <w:pStyle w:val="MdHeading2"/>
      </w:pPr>
      <w:r>
        <w:t xml:space="preserve">مقدمة</w:t>
      </w:r>
    </w:p>
    <w:p>
      <w:pPr>
        <w:pStyle w:val="MdParagraph"/>
      </w:pPr>
      <w:r>
        <w:t xml:space="preserve">يشهد المشهد الاقتصادي في دول مجلس التعاون الخليجي (GCC) تحولاً رقمياً غير مسبوق، حيث أصبح الذكاء الاصطناعي (AI) محركاً رئيسياً للابتكار والنمو. في عام 2026، لم يعد الذكاء الاصطناعي مجرد أداة للإجابة على الأسئلة، بل تطور ليصبح </w:t>
      </w:r>
      <w:r>
        <w:rPr>
          <w:rStyle w:val="MdStrong"/>
          <w:b/>
          <w:bCs/>
        </w:rPr>
        <w:t xml:space="preserve">وكلاء ذكاء اصطناعي</w:t>
      </w:r>
      <w:r>
        <w:t xml:space="preserve"> مستقلين قادرين على تنفيذ مهام معقدة وأتمتة العمليات التجارية، مما يفتح آفاقاً جديدة للكفاءة والربحية.</w:t>
      </w:r>
    </w:p>
    <w:p>
      <w:pPr>
        <w:pStyle w:val="MdSpace"/>
        <w:spacing w:before="0" w:after="60"/>
      </w:pPr>
    </w:p>
    <w:p>
      <w:pPr>
        <w:pStyle w:val="Heading2"/>
        <w:pStyle w:val="MdHeading2"/>
      </w:pPr>
      <w:r>
        <w:t xml:space="preserve">ما هم وكلاء الذكاء الاصطناعي؟</w:t>
      </w:r>
    </w:p>
    <w:p>
      <w:pPr>
        <w:pStyle w:val="MdParagraph"/>
      </w:pPr>
      <w:r>
        <w:t xml:space="preserve">على عكس نماذج اللغة الكبيرة (LLMs) التقليدية التي تولد النصوص بناءً على الأوامر، تم تصميم أنظمة وكلاء الذكاء الاصطناعي للعمل بشكل مستقل. يمكنهم تقسيم الأهداف المعقدة إلى مهام فرعية أصغر، واستخدام أدوات متنوعة، وتصحيح أخطائهم ذاتياً. تخيلهم كموظفين رقميين قادرين على التفكير الاستراتيجي والتنفيذ، بدلاً من مجرد مولدات للمحتوى.</w:t>
      </w:r>
    </w:p>
    <w:p>
      <w:pPr>
        <w:pStyle w:val="MdSpace"/>
        <w:spacing w:before="0" w:after="60"/>
      </w:pPr>
    </w:p>
    <w:p>
      <w:pPr>
        <w:pStyle w:val="Heading2"/>
        <w:pStyle w:val="MdHeading2"/>
      </w:pPr>
      <w:r>
        <w:t xml:space="preserve">كيف يعيد وكلاء الذكاء الاصطناعي تشكيل الأعمال في دول مجلس التعاون الخليجي؟</w:t>
      </w:r>
    </w:p>
    <w:p>
      <w:pPr>
        <w:pStyle w:val="Heading3"/>
        <w:pStyle w:val="MdHeading3"/>
      </w:pPr>
      <w:r>
        <w:t xml:space="preserve">1. أتمتة العمليات التجارية</w:t>
      </w:r>
    </w:p>
    <w:p>
      <w:pPr>
        <w:pStyle w:val="MdParagraph"/>
      </w:pPr>
      <w:r>
        <w:t xml:space="preserve">يمكن لوكلاء الذكاء الاصطناعي أتمتة المهام الروتينية والمتكررة عبر مختلف الأقسام، مثل:</w:t>
      </w:r>
    </w:p>
    <w:p>
      <w:pPr>
        <w:pStyle w:val="MdListItem"/>
        <w:numPr>
          <w:ilvl w:val="0"/>
          <w:numId w:val="2"/>
        </w:numPr>
      </w:pPr>
      <w:r>
        <w:rPr>
          <w:rStyle w:val="MdStrong"/>
          <w:b/>
          <w:bCs/>
        </w:rPr>
        <w:t xml:space="preserve">خدمة العملاء</w:t>
      </w:r>
      <w:r>
        <w:t xml:space="preserve">: التعامل مع الاستفسارات الشائعة وتقديم الدعم الفوري.</w:t>
      </w:r>
    </w:p>
    <w:p>
      <w:pPr>
        <w:pStyle w:val="MdListItem"/>
        <w:numPr>
          <w:ilvl w:val="0"/>
          <w:numId w:val="2"/>
        </w:numPr>
      </w:pPr>
      <w:r>
        <w:rPr>
          <w:rStyle w:val="MdStrong"/>
          <w:b/>
          <w:bCs/>
        </w:rPr>
        <w:t xml:space="preserve">إدارة الموارد البشرية</w:t>
      </w:r>
      <w:r>
        <w:t xml:space="preserve">: فرز السير الذاتية وجدولة المقابلات.</w:t>
      </w:r>
    </w:p>
    <w:p>
      <w:pPr>
        <w:pStyle w:val="MdListItem"/>
        <w:numPr>
          <w:ilvl w:val="0"/>
          <w:numId w:val="2"/>
        </w:numPr>
      </w:pPr>
      <w:r>
        <w:rPr>
          <w:rStyle w:val="MdStrong"/>
          <w:b/>
          <w:bCs/>
        </w:rPr>
        <w:t xml:space="preserve">المالية</w:t>
      </w:r>
      <w:r>
        <w:t xml:space="preserve">: معالجة الفواتير وإعداد التقارير الأولية.</w:t>
      </w:r>
    </w:p>
    <w:p>
      <w:pPr>
        <w:pStyle w:val="MdSpace"/>
        <w:spacing w:before="0" w:after="60"/>
      </w:pPr>
    </w:p>
    <w:p>
      <w:pPr>
        <w:pStyle w:val="Heading3"/>
        <w:pStyle w:val="MdHeading3"/>
      </w:pPr>
      <w:r>
        <w:t xml:space="preserve">2. تحسين تجربة العملاء</w:t>
      </w:r>
    </w:p>
    <w:p>
      <w:pPr>
        <w:pStyle w:val="MdParagraph"/>
      </w:pPr>
      <w:r>
        <w:t xml:space="preserve">من خلال التحليل الفوري لبيانات العملاء، يمكن لوكلاء الذكاء الاصطناعي تقديم تجارب مخصصة للغاية:</w:t>
      </w:r>
    </w:p>
    <w:p>
      <w:pPr>
        <w:pStyle w:val="MdListItem"/>
        <w:numPr>
          <w:ilvl w:val="0"/>
          <w:numId w:val="2"/>
        </w:numPr>
      </w:pPr>
      <w:r>
        <w:rPr>
          <w:rStyle w:val="MdStrong"/>
          <w:b/>
          <w:bCs/>
        </w:rPr>
        <w:t xml:space="preserve">التسويق الشخصي</w:t>
      </w:r>
      <w:r>
        <w:t xml:space="preserve">: إنشاء حملات إعلانية مستهدفة بناءً على سلوك المستخدم.</w:t>
      </w:r>
    </w:p>
    <w:p>
      <w:pPr>
        <w:pStyle w:val="MdListItem"/>
        <w:numPr>
          <w:ilvl w:val="0"/>
          <w:numId w:val="2"/>
        </w:numPr>
      </w:pPr>
      <w:r>
        <w:rPr>
          <w:rStyle w:val="MdStrong"/>
          <w:b/>
          <w:bCs/>
        </w:rPr>
        <w:t xml:space="preserve">التوصيات الذكية</w:t>
      </w:r>
      <w:r>
        <w:t xml:space="preserve">: اقتراح منتجات أو خدمات تتناسب مع تفضيلات العميل.</w:t>
      </w:r>
    </w:p>
    <w:p>
      <w:pPr>
        <w:pStyle w:val="MdListItem"/>
        <w:numPr>
          <w:ilvl w:val="0"/>
          <w:numId w:val="2"/>
        </w:numPr>
      </w:pPr>
      <w:r>
        <w:rPr>
          <w:rStyle w:val="MdStrong"/>
          <w:b/>
          <w:bCs/>
        </w:rPr>
        <w:t xml:space="preserve">الدعم الاستباقي</w:t>
      </w:r>
      <w:r>
        <w:t xml:space="preserve">: تحديد المشكلات المحتملة قبل أن تؤثر على العميل.</w:t>
      </w:r>
    </w:p>
    <w:p>
      <w:pPr>
        <w:pStyle w:val="MdSpace"/>
        <w:spacing w:before="0" w:after="60"/>
      </w:pPr>
    </w:p>
    <w:p>
      <w:pPr>
        <w:pStyle w:val="Heading3"/>
        <w:pStyle w:val="MdHeading3"/>
      </w:pPr>
      <w:r>
        <w:t xml:space="preserve">3. اتخاذ القرارات المبنية على البيانات</w:t>
      </w:r>
    </w:p>
    <w:p>
      <w:pPr>
        <w:pStyle w:val="MdParagraph"/>
      </w:pPr>
      <w:r>
        <w:t xml:space="preserve">يمكن لوكلاء الذكاء الاصطناعي جمع وتحليل كميات هائلة من البيانات لتقديم رؤى قابلة للتنفيذ:</w:t>
      </w:r>
    </w:p>
    <w:p>
      <w:pPr>
        <w:pStyle w:val="MdListItem"/>
        <w:numPr>
          <w:ilvl w:val="0"/>
          <w:numId w:val="2"/>
        </w:numPr>
      </w:pPr>
      <w:r>
        <w:rPr>
          <w:rStyle w:val="MdStrong"/>
          <w:b/>
          <w:bCs/>
        </w:rPr>
        <w:t xml:space="preserve">تحليل السوق</w:t>
      </w:r>
      <w:r>
        <w:t xml:space="preserve">: تحديد الاتجاهات الناشئة والفرص الجديدة.</w:t>
      </w:r>
    </w:p>
    <w:p>
      <w:pPr>
        <w:pStyle w:val="MdListItem"/>
        <w:numPr>
          <w:ilvl w:val="0"/>
          <w:numId w:val="2"/>
        </w:numPr>
      </w:pPr>
      <w:r>
        <w:rPr>
          <w:rStyle w:val="MdStrong"/>
          <w:b/>
          <w:bCs/>
        </w:rPr>
        <w:t xml:space="preserve">تحسين سلسلة التوريد</w:t>
      </w:r>
      <w:r>
        <w:t xml:space="preserve">: التنبؤ بالطلب وإدارة المخزون بكفاءة.</w:t>
      </w:r>
    </w:p>
    <w:p>
      <w:pPr>
        <w:pStyle w:val="MdListItem"/>
        <w:numPr>
          <w:ilvl w:val="0"/>
          <w:numId w:val="2"/>
        </w:numPr>
      </w:pPr>
      <w:r>
        <w:rPr>
          <w:rStyle w:val="MdStrong"/>
          <w:b/>
          <w:bCs/>
        </w:rPr>
        <w:t xml:space="preserve">إدارة المخاطر</w:t>
      </w:r>
      <w:r>
        <w:t xml:space="preserve">: تحديد التهديدات المحتملة وتقديم استراتيجيات للتخفيف منها.</w:t>
      </w:r>
    </w:p>
    <w:p>
      <w:pPr>
        <w:pStyle w:val="MdSpace"/>
        <w:spacing w:before="0" w:after="60"/>
      </w:pPr>
    </w:p>
    <w:p>
      <w:pPr>
        <w:pStyle w:val="Heading2"/>
        <w:pStyle w:val="MdHeading2"/>
      </w:pPr>
      <w:r>
        <w:t xml:space="preserve">ميزة PakSoft في دول مجلس التعاون الخليجي</w:t>
      </w:r>
    </w:p>
    <w:p>
      <w:pPr>
        <w:pStyle w:val="MdParagraph"/>
      </w:pPr>
      <w:r>
        <w:t xml:space="preserve">في PakSoft، ندمج وكلاء الذكاء الاصطناعي في حلولنا الرقمية لمساعدة الشركات في دول مجلس التعاون الخليجي على تحقيق أقصى استفادة من هذه التكنولوجيا. يضمن نظامنا "البشري في الحلقة" (HITL) أن بينما تتولى الذكاء الاصطناعي المهام الثقيلة والمتكررة، يقدم الخبراء البشريون الإشراف الاستراتيجي والإبداع وضمان الجودة. هذا النهج الهجين يسمح لنا بتقديم سرعة وحجم ودقة لا مثيل لها، مما يمنح عملائنا ميزة تنافسية حاسمة.</w:t>
      </w:r>
    </w:p>
    <w:p>
      <w:pPr>
        <w:pStyle w:val="MdSpace"/>
        <w:spacing w:before="0" w:after="60"/>
      </w:pPr>
    </w:p>
    <w:p>
      <w:pPr>
        <w:pStyle w:val="Heading2"/>
        <w:pStyle w:val="MdHeading2"/>
      </w:pPr>
      <w:r>
        <w:t xml:space="preserve">الخلاصة</w:t>
      </w:r>
    </w:p>
    <w:p>
      <w:pPr>
        <w:pStyle w:val="MdParagraph"/>
      </w:pPr>
      <w:r>
        <w:t xml:space="preserve">وكلاء الذكاء الاصطناعي ليسوا مجرد اتجاه عابر؛ إنهم يمثلون تحولاً جوهرياً في كيفية عمل الشركات. الشركات في دول مجلس التعاون الخليجي التي تتبنى هذه التكنولوجيا ستكتسب ميزة كبيرة، مما يؤدي إلى زيادة الكفاءة، وتحسين تجربة العملاء، وفي نهاية المطاف، نمو الإيرادات. مستقبل الأعمال في دول مجلس التعاون الخليجي هو مستقبل آلي وذكي ومتكامل بعمق مع وكلاء الذكاء الاصطناعي. هل أنت مستعد لقيادة هذا التحول؟</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2026-03-04T19:12:34.215Z</dcterms:created>
  <dcterms:modified xsi:type="dcterms:W3CDTF">2026-03-04T19:12:34.215Z</dcterms:modified>
</cp:coreProperties>
</file>

<file path=docProps/custom.xml><?xml version="1.0" encoding="utf-8"?>
<Properties xmlns="http://schemas.openxmlformats.org/officeDocument/2006/custom-properties" xmlns:vt="http://schemas.openxmlformats.org/officeDocument/2006/docPropsVTypes"/>
</file>