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Glocal SEO: Why a One-Size-Fits-All Strategy Fails in the DACH and GCC Markets</w:t>
      </w:r>
    </w:p>
    <w:p>
      <w:pPr>
        <w:pStyle w:val="Heading2"/>
        <w:pStyle w:val="MdHeading2"/>
      </w:pPr>
      <w:r>
        <w:t xml:space="preserve">Introduction</w:t>
      </w:r>
    </w:p>
    <w:p>
      <w:pPr>
        <w:pStyle w:val="MdParagraph"/>
      </w:pPr>
      <w:r>
        <w:t xml:space="preserve">In the pursuit of global expansion, many businesses fall into the trap of a one-size-fits-all SEO strategy. However, what works in one market can fail spectacularly in another. This is particularly true when targeting the culturally and technically distinct DACH (Germany, Austria, Switzerland) and GCC (Gulf Cooperation Council) regions. To succeed, businesses must adopt a </w:t>
      </w:r>
      <w:r>
        <w:rPr>
          <w:rStyle w:val="MdStrong"/>
          <w:b/>
          <w:bCs/>
        </w:rPr>
        <w:t xml:space="preserve">"Glocal"</w:t>
      </w:r>
      <w:r>
        <w:t xml:space="preserve"> approach—a strategy that combines global best practices with deep local insights.</w:t>
      </w:r>
    </w:p>
    <w:p>
      <w:pPr>
        <w:pStyle w:val="MdSpace"/>
        <w:spacing w:before="0" w:after="60"/>
      </w:pPr>
    </w:p>
    <w:p>
      <w:pPr>
        <w:pStyle w:val="Heading2"/>
        <w:pStyle w:val="MdHeading2"/>
      </w:pPr>
      <w:r>
        <w:t xml:space="preserve">The DACH Market: Precision, Privacy, and Performance</w:t>
      </w:r>
    </w:p>
    <w:p>
      <w:pPr>
        <w:pStyle w:val="MdParagraph"/>
      </w:pPr>
      <w:r>
        <w:t xml:space="preserve">The DACH region is characterized by a mature digital landscape and a discerning audience that values privacy, technical precision, and high-quality, data-driven content.</w:t>
      </w:r>
    </w:p>
    <w:p>
      <w:pPr>
        <w:pStyle w:val="MdSpace"/>
        <w:spacing w:before="0" w:after="60"/>
      </w:pPr>
    </w:p>
    <w:p>
      <w:pPr>
        <w:pStyle w:val="Heading3"/>
        <w:pStyle w:val="MdHeading3"/>
      </w:pPr>
      <w:r>
        <w:t xml:space="preserve">Key SEO Considerations for DACH:</w:t>
      </w:r>
    </w:p>
    <w:p>
      <w:pPr>
        <w:pStyle w:val="MdListItem"/>
        <w:numPr>
          <w:ilvl w:val="0"/>
          <w:numId w:val="2"/>
        </w:numPr>
      </w:pPr>
      <w:r>
        <w:rPr>
          <w:rStyle w:val="MdStrong"/>
          <w:b/>
          <w:bCs/>
        </w:rPr>
        <w:t xml:space="preserve">GDPR Compliance</w:t>
      </w:r>
      <w:r>
        <w:t xml:space="preserve">: Privacy is paramount. Cookie consent, data handling, and transparent privacy policies are non-negotiable.</w:t>
      </w:r>
    </w:p>
    <w:p>
      <w:pPr>
        <w:pStyle w:val="MdListItem"/>
        <w:numPr>
          <w:ilvl w:val="0"/>
          <w:numId w:val="2"/>
        </w:numPr>
      </w:pPr>
      <w:r>
        <w:rPr>
          <w:rStyle w:val="MdStrong"/>
          <w:b/>
          <w:bCs/>
        </w:rPr>
        <w:t xml:space="preserve">Technical Excellence</w:t>
      </w:r>
      <w:r>
        <w:t xml:space="preserve">: German search users have high expectations for page speed, mobile responsiveness, and overall user experience.</w:t>
      </w:r>
    </w:p>
    <w:p>
      <w:pPr>
        <w:pStyle w:val="MdListItem"/>
        <w:numPr>
          <w:ilvl w:val="0"/>
          <w:numId w:val="2"/>
        </w:numPr>
      </w:pPr>
      <w:r>
        <w:rPr>
          <w:rStyle w:val="MdStrong"/>
          <w:b/>
          <w:bCs/>
        </w:rPr>
        <w:t xml:space="preserve">Formal Tone &amp; Data-Driven Content</w:t>
      </w:r>
      <w:r>
        <w:t xml:space="preserve">: Content should be well-researched, authoritative, and presented in a formal, direct tone. Case studies, white papers, and data-rich articles perform well.</w:t>
      </w:r>
    </w:p>
    <w:p>
      <w:pPr>
        <w:pStyle w:val="MdListItem"/>
        <w:numPr>
          <w:ilvl w:val="0"/>
          <w:numId w:val="2"/>
        </w:numPr>
      </w:pPr>
      <w:r>
        <w:rPr>
          <w:rStyle w:val="MdStrong"/>
          <w:b/>
          <w:bCs/>
        </w:rPr>
        <w:t xml:space="preserve">High-Quality Backlinks</w:t>
      </w:r>
      <w:r>
        <w:t xml:space="preserve">: Link building in the DACH region is about quality over quantity. Links from reputable, industry-specific sites are essential.</w:t>
      </w:r>
    </w:p>
    <w:p>
      <w:pPr>
        <w:pStyle w:val="MdSpace"/>
        <w:spacing w:before="0" w:after="60"/>
      </w:pPr>
    </w:p>
    <w:p>
      <w:pPr>
        <w:pStyle w:val="Heading2"/>
        <w:pStyle w:val="MdHeading2"/>
      </w:pPr>
      <w:r>
        <w:t xml:space="preserve">The GCC Market: Mobile-First, Visual, and Relationship-Based</w:t>
      </w:r>
    </w:p>
    <w:p>
      <w:pPr>
        <w:pStyle w:val="MdParagraph"/>
      </w:pPr>
      <w:r>
        <w:t xml:space="preserve">The GCC market is a rapidly growing digital economy with a young, mobile-first population that values visual content, social proof, and relationship-based interactions.</w:t>
      </w:r>
    </w:p>
    <w:p>
      <w:pPr>
        <w:pStyle w:val="MdSpace"/>
        <w:spacing w:before="0" w:after="60"/>
      </w:pPr>
    </w:p>
    <w:p>
      <w:pPr>
        <w:pStyle w:val="Heading3"/>
        <w:pStyle w:val="MdHeading3"/>
      </w:pPr>
      <w:r>
        <w:t xml:space="preserve">Key SEO Considerations for GCC:</w:t>
      </w:r>
    </w:p>
    <w:p>
      <w:pPr>
        <w:pStyle w:val="MdListItem"/>
        <w:numPr>
          <w:ilvl w:val="0"/>
          <w:numId w:val="2"/>
        </w:numPr>
      </w:pPr>
      <w:r>
        <w:rPr>
          <w:rStyle w:val="MdStrong"/>
          <w:b/>
          <w:bCs/>
        </w:rPr>
        <w:t xml:space="preserve">Mobile-First Indexing</w:t>
      </w:r>
      <w:r>
        <w:t xml:space="preserve">: With a high mobile penetration rate, a seamless mobile experience is critical for SEO success.</w:t>
      </w:r>
    </w:p>
    <w:p>
      <w:pPr>
        <w:pStyle w:val="MdListItem"/>
        <w:numPr>
          <w:ilvl w:val="0"/>
          <w:numId w:val="2"/>
        </w:numPr>
      </w:pPr>
      <w:r>
        <w:rPr>
          <w:rStyle w:val="MdStrong"/>
          <w:b/>
          <w:bCs/>
        </w:rPr>
        <w:t xml:space="preserve">Localized Arabic Content</w:t>
      </w:r>
      <w:r>
        <w:t xml:space="preserve">: Translation is not enough. Content must be culturally adapted, considering local dialects, customs, and values.</w:t>
      </w:r>
    </w:p>
    <w:p>
      <w:pPr>
        <w:pStyle w:val="MdListItem"/>
        <w:numPr>
          <w:ilvl w:val="0"/>
          <w:numId w:val="2"/>
        </w:numPr>
      </w:pPr>
      <w:r>
        <w:rPr>
          <w:rStyle w:val="MdStrong"/>
          <w:b/>
          <w:bCs/>
        </w:rPr>
        <w:t xml:space="preserve">Right-to-Left (RTL) Design</w:t>
      </w:r>
      <w:r>
        <w:t xml:space="preserve">: Websites must be technically optimized for RTL languages like Arabic, which involves mirroring layouts and ensuring proper font rendering.</w:t>
      </w:r>
    </w:p>
    <w:p>
      <w:pPr>
        <w:pStyle w:val="MdListItem"/>
        <w:numPr>
          <w:ilvl w:val="0"/>
          <w:numId w:val="2"/>
        </w:numPr>
      </w:pPr>
      <w:r>
        <w:rPr>
          <w:rStyle w:val="MdStrong"/>
          <w:b/>
          <w:bCs/>
        </w:rPr>
        <w:t xml:space="preserve">Social Media Integration</w:t>
      </w:r>
      <w:r>
        <w:t xml:space="preserve">: Social media platforms are powerful search and discovery tools in the GCC. Integrating social proof and user-generated content into your SEO strategy is key.</w:t>
      </w:r>
    </w:p>
    <w:p>
      <w:pPr>
        <w:pStyle w:val="MdSpace"/>
        <w:spacing w:before="0" w:after="60"/>
      </w:pPr>
    </w:p>
    <w:p>
      <w:pPr>
        <w:pStyle w:val="Heading2"/>
        <w:pStyle w:val="MdHeading2"/>
      </w:pPr>
      <w:r>
        <w:t xml:space="preserve">The PakSoft Glocal Solution</w:t>
      </w:r>
    </w:p>
    <w:p>
      <w:pPr>
        <w:pStyle w:val="MdParagraph"/>
      </w:pPr>
      <w:r>
        <w:t xml:space="preserve">At PakSoft, we bridge the gap between global strategy and local execution. Our Glocal SEO services include:</w:t>
      </w:r>
    </w:p>
    <w:p>
      <w:pPr>
        <w:pStyle w:val="MdListItem"/>
        <w:numPr>
          <w:ilvl w:val="0"/>
          <w:numId w:val="2"/>
        </w:numPr>
      </w:pPr>
      <w:r>
        <w:rPr>
          <w:rStyle w:val="MdStrong"/>
          <w:b/>
          <w:bCs/>
        </w:rPr>
        <w:t xml:space="preserve">Market-Specific Keyword Research</w:t>
      </w:r>
      <w:r>
        <w:t xml:space="preserve">: Identifying the unique search terms and user intent in each region.</w:t>
      </w:r>
    </w:p>
    <w:p>
      <w:pPr>
        <w:pStyle w:val="MdListItem"/>
        <w:numPr>
          <w:ilvl w:val="0"/>
          <w:numId w:val="2"/>
        </w:numPr>
      </w:pPr>
      <w:r>
        <w:rPr>
          <w:rStyle w:val="MdStrong"/>
          <w:b/>
          <w:bCs/>
        </w:rPr>
        <w:t xml:space="preserve">Cultural Adaptation</w:t>
      </w:r>
      <w:r>
        <w:t xml:space="preserve">: Localizing content, not just translating it, with the help of native-speaking experts.</w:t>
      </w:r>
    </w:p>
    <w:p>
      <w:pPr>
        <w:pStyle w:val="MdListItem"/>
        <w:numPr>
          <w:ilvl w:val="0"/>
          <w:numId w:val="2"/>
        </w:numPr>
      </w:pPr>
      <w:r>
        <w:rPr>
          <w:rStyle w:val="MdStrong"/>
          <w:b/>
          <w:bCs/>
        </w:rPr>
        <w:t xml:space="preserve">Technical Localization</w:t>
      </w:r>
      <w:r>
        <w:t xml:space="preserve">: Ensuring your website is technically optimized for each market, including RTL design and local hosting.</w:t>
      </w:r>
    </w:p>
    <w:p>
      <w:pPr>
        <w:pStyle w:val="MdListItem"/>
        <w:numPr>
          <w:ilvl w:val="0"/>
          <w:numId w:val="2"/>
        </w:numPr>
      </w:pPr>
      <w:r>
        <w:rPr>
          <w:rStyle w:val="MdStrong"/>
          <w:b/>
          <w:bCs/>
        </w:rPr>
        <w:t xml:space="preserve">Glocal Link Building</w:t>
      </w:r>
      <w:r>
        <w:t xml:space="preserve">: Building relationships with authoritative local websites and influencers.</w:t>
      </w:r>
    </w:p>
    <w:p>
      <w:pPr>
        <w:pStyle w:val="MdSpace"/>
        <w:spacing w:before="0" w:after="60"/>
      </w:pPr>
    </w:p>
    <w:p>
      <w:pPr>
        <w:pStyle w:val="Heading2"/>
        <w:pStyle w:val="MdHeading2"/>
      </w:pPr>
      <w:r>
        <w:t xml:space="preserve">Conclusion</w:t>
      </w:r>
    </w:p>
    <w:p>
      <w:pPr>
        <w:pStyle w:val="MdParagraph"/>
      </w:pPr>
      <w:r>
        <w:t xml:space="preserve">Expanding into the DACH and GCC markets requires more than just a global SEO strategy. It demands a Glocal approach that respects the unique cultural, technical, and linguistic nuances of each region. By tailoring your SEO efforts to the specific needs and expectations of your target audience, you can unlock the immense growth potential of these dynamic markets. Don't let a one-size-fits-all strategy hold you back. Embrace the power of Glocal SEO.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2026-03-04T19:09:04.586Z</dcterms:created>
  <dcterms:modified xsi:type="dcterms:W3CDTF">2026-03-04T19:09:04.586Z</dcterms:modified>
</cp:coreProperties>
</file>

<file path=docProps/custom.xml><?xml version="1.0" encoding="utf-8"?>
<Properties xmlns="http://schemas.openxmlformats.org/officeDocument/2006/custom-properties" xmlns:vt="http://schemas.openxmlformats.org/officeDocument/2006/docPropsVTypes"/>
</file>