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PLAN DE PROJET</w:t>
      </w:r>
    </w:p>
    <w:p>
      <w:pPr>
        <w:spacing w:after="100" w:before="200"/>
        <w:jc w:val="center"/>
      </w:pPr>
      <w:r>
        <w:rPr>
          <w:b/>
          <w:bCs/>
          <w:color w:val="2E74B5"/>
          <w:sz w:val="44"/>
          <w:szCs w:val="44"/>
        </w:rPr>
        <w:t xml:space="preserve">SMARTEX SUSTWAY</w:t>
      </w:r>
    </w:p>
    <w:p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 xml:space="preserve">Plateforme d'évaluation RSE intelligente</w:t>
      </w:r>
    </w:p>
    <w:p>
      <w:pPr>
        <w:spacing w:after="80"/>
        <w:jc w:val="center"/>
      </w:pPr>
      <w:r>
        <w:rPr>
          <w:sz w:val="22"/>
          <w:szCs w:val="22"/>
        </w:rPr>
        <w:t xml:space="preserve">Basé sur le Cahier des charges v1.5 et le MCD Smartex Sustway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Démarrage du développement : lundi 24 août 2026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Livraison V1 visée : 29 janvier 2027</w:t>
      </w:r>
    </w:p>
    <w:p>
      <w:pPr>
        <w:spacing w:before="600"/>
        <w:jc w:val="center"/>
      </w:pPr>
      <w:r>
        <w:rPr>
          <w:i/>
          <w:iCs/>
          <w:color w:val="595959"/>
          <w:sz w:val="18"/>
          <w:szCs w:val="18"/>
        </w:rPr>
        <w:t xml:space="preserve">Document de travail — projet neuf, périmètre autonome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Cadrage rapide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3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Stack retenue</w:t>
            </w:r>
          </w:p>
        </w:tc>
        <w:tc>
          <w:tcPr>
            <w:tcW w:type="dxa" w:w="63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+ Chart.js (front), Quarkus/Java (API + moteur de règles), Python/FastAPI (services IA), PostgreSQL (pgvector) + Redis + S3/MinIO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Équipe</w:t>
            </w:r>
          </w:p>
        </w:tc>
        <w:tc>
          <w:tcPr>
            <w:tcW w:type="dxa" w:w="63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développeur, solo, sur l'ensemble Quarkus + Python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Délai visé</w:t>
            </w:r>
          </w:p>
        </w:tc>
        <w:tc>
          <w:tcPr>
            <w:tcW w:type="dxa" w:w="63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à 6 mois au CDC → cible réaliste retenue : 22 à 26 semaines (~5,5 à 6,5 mois)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Priorité n°1</w:t>
            </w:r>
          </w:p>
        </w:tc>
        <w:tc>
          <w:tcPr>
            <w:tcW w:type="dxa" w:w="63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Précision du moteur probabiliste IA (écart moyen ≤ 1 point sur 100 évaluations)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Blocage externe connu</w:t>
            </w:r>
          </w:p>
        </w:tc>
        <w:tc>
          <w:tcPr>
            <w:tcW w:type="dxa" w:w="63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Mapping critères ↔ Performance Standards IFC/SFI (livrable des experts métier), requis avant la phase F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t xml:space="preserve">2. Modèle de données</w:t>
      </w:r>
    </w:p>
    <w:p>
      <w:pPr>
        <w:spacing w:after="120"/>
      </w:pPr>
      <w:r>
        <w:t xml:space="preserve">Le MCD fourni (12 blocs : Utilisateurs &amp; RBAC, Entreprises/Pays/Sites, Abonnements &amp; Paiements, Référentiels RSE, Audits &amp; Questionnaire, Documents &amp; Preuves, Pipeline IA, Évaluations &amp; Revue Experte, Non-conformités, Rapports, Journalisation) sert de référence unique pour le schéma PostgreSQL. Il couvre l'ensemble des règles de gestion du CDC, y compris l'applicabilité bailleur (RG34, RG39-43) via CRITERE_BAILLEUR, BAILLEUR et INDICE_PREPARATION.</w:t>
      </w:r>
    </w:p>
    <w:p>
      <w:pPr>
        <w:spacing w:after="120"/>
      </w:pPr>
      <w:r>
        <w:t xml:space="preserve">Prochaine étape technique immédiate : générer le DDL PostgreSQL complet à partir de ce MCD (tables, PK/FK, contraintes, index), avant d'écrire la moindre ligne d'API.</w:t>
      </w:r>
    </w:p>
    <w:p>
      <w:pPr>
        <w:pStyle w:val="Heading1"/>
        <w:spacing w:after="160" w:before="320"/>
      </w:pPr>
      <w:r>
        <w:t xml:space="preserve">3. Découpage en phases et calendrier daté</w:t>
      </w:r>
    </w:p>
    <w:p>
      <w:pPr>
        <w:spacing w:after="120"/>
      </w:pPr>
      <w:r>
        <w:rPr>
          <w:b/>
          <w:bCs/>
        </w:rPr>
        <w:t xml:space="preserve">Démarrage retenu : lundi 24 août 2026. Jours ouvrés uniquement, pause fêtes de fin d'année intégrée.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50"/>
        <w:gridCol w:w="1450"/>
        <w:gridCol w:w="1450"/>
        <w:gridCol w:w="1900"/>
      </w:tblGrid>
      <w:tr>
        <w:tc>
          <w:tcPr>
            <w:tcW w:type="dxa" w:w="1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4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14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Début</w:t>
            </w:r>
          </w:p>
        </w:tc>
        <w:tc>
          <w:tcPr>
            <w:tcW w:type="dxa" w:w="14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Fondations métier : DDL PostgreSQL, setup repo, Docker, CI/CD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lun. 24/08/2026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ven. 28/08/2026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semaine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Socle applicatif : Utilisateurs/RBAC, Entreprises/Pays/Sites, moteur de règles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lun. 31/08/2026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ven. 18/09/2026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semaines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Abonnements &amp; onboarding : formules, inscription/2FA, PI-SPI/Wave (chevauche fin B)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lun. 14/09/2026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ven. 02/10/2026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2,5 semaines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3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IA de base (Standard) : 87 critères, audits, preuves, Agents Document/Evidence/Compliance/Scoring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lun. 05/10/2026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jeu. 29/10/2026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3,5 semaines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3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IA avancée (Avancées) : Risk/Recommendation Agents, seuil 80 %, revue experte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lun. 02/11/2026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ven. 20/11/2026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semaines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3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Référentiels &amp; back-office : PRI/GRESB/ITIE, criticité sectorielle, mapping bailleur (si livré)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lun. 23/11/2026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ven. 18/12/2026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semaines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4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Pause fêtes de fin d'année</w:t>
            </w:r>
          </w:p>
        </w:tc>
        <w:tc>
          <w:tcPr>
            <w:tcW w:type="dxa" w:w="14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sam. 19/12/2026</w:t>
            </w:r>
          </w:p>
        </w:tc>
        <w:tc>
          <w:tcPr>
            <w:tcW w:type="dxa" w:w="14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dim. 03/01/2027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semaines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3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Finalisation : non-conformités, rapports, dashboards, RGPD, tests, déploiement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lun. 04/01/2027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ven. 29/01/2027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semaines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Jalons clés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29 octobre 2026 — MVP Standard utilisable par les pilotes (fin phase 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 novembre 2026 — Revue experte opérationnelle (fin phase 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18 décembre 2026 — Référentiels sectoriels intégrés + volet bailleur si mapping livré à temps (fin phase 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29 janvier 2027 — V1 complète livrée (fin phase G), marge de sécurité jusqu'au 12 février 2027</w:t>
      </w:r>
    </w:p>
    <w:p>
      <w:pPr>
        <w:spacing w:after="120"/>
      </w:pPr>
      <w:r>
        <w:rPr>
          <w:i/>
          <w:iCs/>
        </w:rPr>
        <w:t xml:space="preserve">Durée totale : ~23 semaines calendaires (dont 2 de pause), cohérent avec la fourchette réaliste de 20-26 semaines. Marge de contingence de 1 à 2 semaines en fin de phase G → livraison sans risque autour du 12 février 2027 dans le pire cas.</w:t>
      </w:r>
    </w:p>
    <w:p>
      <w:pPr>
        <w:pStyle w:val="Heading1"/>
        <w:spacing w:after="160" w:before="320"/>
      </w:pPr>
      <w:r>
        <w:t xml:space="preserve">4. Backlog détaillé par phase</w:t>
      </w:r>
    </w:p>
    <w:p>
      <w:pPr>
        <w:pStyle w:val="Heading3"/>
        <w:spacing w:after="100" w:before="180"/>
      </w:pPr>
      <w:r>
        <w:t xml:space="preserve">Phase A — Fondations (24 - 28 août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Génération du DDL PostgreSQL complet depuis le MCD (12 blocs)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Setup repo (api-quarkus, services-ia-python, frontend-react)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Setup Docker Compose (Postgres, Redis, MinIO) pour dev local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 squelette (lint, build, tests)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Intégration du logo Smartex Sustway dans la charte front</w:t>
      </w:r>
    </w:p>
    <w:p>
      <w:pPr>
        <w:pStyle w:val="Heading3"/>
        <w:spacing w:after="100" w:before="180"/>
      </w:pPr>
      <w:r>
        <w:t xml:space="preserve">Phase B — Socle applicatif (31 août - 18 sept.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1 — Utilisateurs &amp; rôles : UTILISATEUR, ROLE, PERMISSION, ROLE_PERMISSION, UTILISATEUR_ENTREPRISE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Authentification (hash mot de passe), vérification email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RBAC centralisé (policies), pas de vérifications dispersées dans le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3 — Entreprises, pays, sites (ENTREPRISE, PAYS, ENTREPRISE_PAYS, SITE, SECTEUR)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Moteur de règles Quarkus : note obtenue, score domaine, score global, risque attendu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Isolation multi-tenant (filtrage strict par entreprise)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Journal d'audit de base (AUDIT_LOG)</w:t>
      </w:r>
    </w:p>
    <w:p>
      <w:pPr>
        <w:pStyle w:val="Heading3"/>
        <w:spacing w:after="100" w:before="180"/>
      </w:pPr>
      <w:r>
        <w:t xml:space="preserve">Phase C — Abonnements &amp; onboarding (14 sept. - 2 oct.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2 — FORMULE_ABONNEMENT, ABONNEMENT, PAIEMENT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Parcours inscription en 4 étapes (formule → formulaire → vérif email/2FA → confirmation → identifiants)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2FA optionnelle (SMS ou application d'authentification)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Intégration PI-SPI et Wave, facturation mensuelle/annuelle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Verrouillage complet du mode Free</w:t>
      </w:r>
    </w:p>
    <w:p>
      <w:pPr>
        <w:pStyle w:val="Heading3"/>
        <w:spacing w:after="100" w:before="180"/>
      </w:pPr>
      <w:r>
        <w:t xml:space="preserve">Phase D — IA de base / formule Standard (5 - 29 oct. 2026)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Fin du MVP dur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5 — Critères &amp; questions dynamiques (REFERENTIEL, DOMAINE, CRITERE, QUESTION, CRITERE_SECTEUR)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Chargement des 87 critères Smartex (6 parties, criticité générale)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Composition dynamique du questionnaire selon profil entreprise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6 — Missions d'audit (AUDIT, AUDIT_SITE, AUDIT_AUDITEUR, AUDIT_CRITERE, AUDIT_QUESTION)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7 — Collecte de preuves : upload, scan antivirus, restriction des types de fichiers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 IA Python : Document Agent, Evidence Agent, Compliance Agent, Scoring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 REST/gRPC synchrone Quarkus ↔ Python, orchestrateur pipeline Standard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IA = note finale directe, aucune revue humaine en Standard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Jeu de test : back-office de comparaison note IA / note experte</w:t>
      </w:r>
    </w:p>
    <w:p>
      <w:pPr>
        <w:pStyle w:val="Heading3"/>
        <w:spacing w:after="100" w:before="180"/>
      </w:pPr>
      <w:r>
        <w:t xml:space="preserve">Phase E — IA avancée / formule Avancées (2 - 20 nov.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Agent, Recommendation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Seuil de confiance 80 % → file de revue experte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8 — EVALUATION, REVUE_EXPERTE, workflow expert (rôle EXPERT_REVIEWER)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Écran de revue ciblée (&lt; 80 % de confiance)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Détection de biais systématiques par domaine, rapport après chaque lot de 50 évaluations</w:t>
      </w:r>
    </w:p>
    <w:p>
      <w:pPr>
        <w:pStyle w:val="Heading3"/>
        <w:spacing w:after="100" w:before="180"/>
      </w:pPr>
      <w:r>
        <w:t xml:space="preserve">Phase F — Référentiels sectoriels &amp; back-office (23 nov. - 18 déc.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Back-office sur mesure : gestion référentiels, critères, criticité par secteur, versioning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Intégration PRI, GRESB (finance/immobilier), ITIE (minier)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Criticité variable par secteur (CRITERE_CRITICITE_SECTEUR)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Volet financements verts (conditionnel) : réception du mapping IFC/SFI, BAILLEUR, CRITERE_BAILLEUR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mapping non livré à temps → reporté en V1.1, ne bloque pas le reste de la phase F</w:t>
      </w:r>
    </w:p>
    <w:p>
      <w:pPr>
        <w:pStyle w:val="Heading3"/>
        <w:spacing w:after="100" w:before="180"/>
      </w:pPr>
      <w:r>
        <w:t xml:space="preserve">Phase G — Finalisation (4 - 29 janv. 2027)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10 — Moteur de priorité (risque × criticité), matrice de priorité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11 — Non-conformités &amp; actions correctives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Reporting Agent : rapport simple (Standard) vs détaillé avec benchmarking (Avancées)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Indice de préparation bailleur, affiché uniquement en Avancées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12 — Dashboards par rôle, Chart.js, comparaison d'entreprises, export CSV + 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Sécurité RGPD répliquée, sauvegardes chiffrées + tests de restauration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de bout en bout, jeu de 100 évaluations comparées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Déploiement (Docker, Cloudflare, CI/CD)</w:t>
      </w:r>
    </w:p>
    <w:p>
      <w:pPr>
        <w:sectPr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5. Diagramme de Gantt</w:t>
      </w:r>
    </w:p>
    <w:p>
      <w:pPr>
        <w:spacing w:after="120"/>
      </w:pPr>
      <w:r>
        <w:rPr>
          <w:i/>
          <w:iCs/>
          <w:color w:val="595959"/>
        </w:rPr>
        <w:t xml:space="preserve">Chaque colonne représente une semaine (lundi de début indiqué). La semaine S4 (14/09) est partagée entre la fin de la phase B et le démarrage de la phase C.</w:t>
      </w:r>
    </w:p>
    <w:tbl>
      <w:tblPr>
        <w:tblW w:type="dxa" w:w="148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</w:tblGrid>
      <w:tr>
        <w:tc>
          <w:tcPr>
            <w:tcW w:type="dxa" w:w="1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24/08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S2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31/08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S3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07/09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S4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14/09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S5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21/09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S6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28/09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S7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05/10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S8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12/10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S9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19/10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26/10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S11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02/11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S12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09/11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S13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16/11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S14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23/11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S15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30/11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S16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07/12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S17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14/12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S18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21/12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S19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28/12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S20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04/01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S21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11/01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S22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18/01</w:t>
            </w:r>
          </w:p>
        </w:tc>
        <w:tc>
          <w:tcPr>
            <w:tcW w:type="dxa" w:w="570"/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S23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FFFFFF"/>
                <w:sz w:val="14"/>
                <w:szCs w:val="14"/>
              </w:rPr>
              <w:t xml:space="preserve">25/01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 — Fondations</w:t>
            </w:r>
          </w:p>
        </w:tc>
        <w:tc>
          <w:tcPr>
            <w:tcW w:type="dxa" w:w="57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B — Socle applicatif</w:t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 — Abonnements</w:t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E6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E6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 — IA Standard</w:t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E — IA avancée</w:t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8CE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8CE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8CE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 — Référentiels</w:t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E1D5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E1D5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E1D5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E1D5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Pause fêtes</w:t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G — Finalisation</w:t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D0E0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D0E0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D0E0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"/>
            <w:shd w:fill="D0E0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ectPr>
          <w:pgSz w:w="16838" w:h="11906" w:orient="portrait"/>
          <w:pgMar w:top="700" w:right="500" w:bottom="700" w:left="50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6. Risques identifiés et mitigation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50"/>
      </w:tblGrid>
      <w:tr>
        <w:tc>
          <w:tcPr>
            <w:tcW w:type="dxa" w:w="28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Délai 3-6 mois vs périmètre complet en solo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Élevé</w:t>
            </w:r>
          </w:p>
        </w:tc>
        <w:tc>
          <w:tcPr>
            <w:tcW w:type="dxa" w:w="5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MVP dur (A→D) priorisé et livrable seul si besoin ; E→G peuvent glisser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Mapping IFC/SFI non livré à temps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Moyen</w:t>
            </w:r>
          </w:p>
        </w:tc>
        <w:tc>
          <w:tcPr>
            <w:tcW w:type="dxa" w:w="5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Volet bailleur isolé techniquement (référentiel transversal) → report V1.1 sans bloquer le reste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Intégration PI-SPI/Wave non cadrée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Moyen</w:t>
            </w:r>
          </w:p>
        </w:tc>
        <w:tc>
          <w:tcPr>
            <w:tcW w:type="dxa" w:w="5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Cadrage à faire en tout début de phase C, avant de coder l'intégration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Qualité du moteur probabiliste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Élevé</w:t>
            </w:r>
          </w:p>
        </w:tc>
        <w:tc>
          <w:tcPr>
            <w:tcW w:type="dxa" w:w="5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Jeu de test dès la phase D, mesure continue par lot de 50 évaluations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Développeur solo, pas de redondance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Élevé (structurel)</w:t>
            </w:r>
          </w:p>
        </w:tc>
        <w:tc>
          <w:tcPr>
            <w:tcW w:type="dxa" w:w="5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Documentation continue, priorisation stricte du backlog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t xml:space="preserve">7. Prochaines actions concrètes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Générer le DDL PostgreSQL complet à partir du MCD (tables, contraintes, index) — livrable immédiat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Initialiser la structure de repo (api-quarkus, services-ia-python, frontend-react) avec Docker Compose de dev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Charger les 87 critères du référentiel Smartex (6 parties) en données de seed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Démarrer la phase B (module Utilisateurs &amp; rôles + RBAC)</w:t>
      </w:r>
    </w:p>
    <w:p>
      <w:pPr>
        <w:spacing w:after="120"/>
      </w:pPr>
      <w:r>
        <w:t xml:space="preserve"/>
      </w:r>
    </w:p>
    <w:p>
      <w:pPr>
        <w:spacing w:before="400"/>
      </w:pPr>
      <w:r>
        <w:rPr>
          <w:i/>
          <w:iCs/>
          <w:color w:val="595959"/>
          <w:sz w:val="18"/>
          <w:szCs w:val="18"/>
        </w:rPr>
        <w:t xml:space="preserve">Document de travail — Smartex Sustway. Basé sur le CDC v1.5 et le MCD fourni le 18/08/2026.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2026-08-18T16:03:17.518Z</dcterms:created>
  <dcterms:modified xsi:type="dcterms:W3CDTF">2026-08-18T16:03:17.519Z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