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48796" w14:textId="73FB9B2D" w:rsidR="0004275C" w:rsidRDefault="0004275C" w:rsidP="00DC037F">
      <w:pPr>
        <w:rPr>
          <w:rFonts w:ascii="Garamond" w:hAnsi="Garamond"/>
        </w:rPr>
      </w:pPr>
      <w:r w:rsidRPr="00D93FF4">
        <w:rPr>
          <w:rFonts w:ascii="Garamond" w:hAnsi="Garamond"/>
        </w:rPr>
        <w:t>Hilary Henshaw</w:t>
      </w:r>
    </w:p>
    <w:p w14:paraId="69E0FE49" w14:textId="54C67622" w:rsidR="009E5B76" w:rsidRDefault="009E5B76" w:rsidP="00DC037F">
      <w:pPr>
        <w:rPr>
          <w:rFonts w:ascii="Garamond" w:hAnsi="Garamond"/>
        </w:rPr>
      </w:pPr>
      <w:r>
        <w:rPr>
          <w:rFonts w:ascii="Garamond" w:hAnsi="Garamond"/>
        </w:rPr>
        <w:t>22 February 2025</w:t>
      </w:r>
    </w:p>
    <w:p w14:paraId="2ADF90EC" w14:textId="3AD469B2" w:rsidR="0004275C" w:rsidRDefault="009E5B76" w:rsidP="00DC037F">
      <w:pPr>
        <w:rPr>
          <w:rFonts w:ascii="Garamond" w:hAnsi="Garamond"/>
        </w:rPr>
      </w:pPr>
      <w:r w:rsidRPr="00177440">
        <w:rPr>
          <w:rFonts w:ascii="Garamond" w:hAnsi="Garamond"/>
        </w:rPr>
        <w:t>DSP 56</w:t>
      </w:r>
      <w:r>
        <w:rPr>
          <w:rFonts w:ascii="Garamond" w:hAnsi="Garamond"/>
        </w:rPr>
        <w:t>2</w:t>
      </w:r>
      <w:r w:rsidRPr="00177440">
        <w:rPr>
          <w:rFonts w:ascii="Garamond" w:hAnsi="Garamond"/>
        </w:rPr>
        <w:t xml:space="preserve"> Final Project Proposal</w:t>
      </w:r>
    </w:p>
    <w:p w14:paraId="6C855181" w14:textId="5194B361" w:rsidR="009E5B76" w:rsidRDefault="009E5B76" w:rsidP="00DC037F">
      <w:pPr>
        <w:rPr>
          <w:rFonts w:ascii="Garamond" w:hAnsi="Garamond" w:cs="Times New Roman"/>
          <w:b/>
          <w:bCs/>
        </w:rPr>
      </w:pPr>
      <w:r w:rsidRPr="009E5B76">
        <w:rPr>
          <w:rFonts w:ascii="Garamond" w:hAnsi="Garamond" w:cs="Times New Roman"/>
          <w:b/>
          <w:bCs/>
        </w:rPr>
        <w:t>Predictive Analysis of Mortality in Heart Failure Patients Using Data Analytics and Visualization Tools</w:t>
      </w:r>
    </w:p>
    <w:p w14:paraId="68B04685" w14:textId="77777777" w:rsidR="009E5B76" w:rsidRPr="009E5B76" w:rsidRDefault="009E5B76" w:rsidP="00DC037F">
      <w:pPr>
        <w:rPr>
          <w:rFonts w:ascii="Garamond" w:hAnsi="Garamond"/>
          <w:b/>
          <w:bCs/>
        </w:rPr>
      </w:pPr>
    </w:p>
    <w:p w14:paraId="59D9619C" w14:textId="02EF5576" w:rsidR="00E5686E" w:rsidRPr="00E5686E" w:rsidRDefault="00E5686E" w:rsidP="00DC037F">
      <w:pPr>
        <w:rPr>
          <w:rFonts w:ascii="Garamond" w:hAnsi="Garamond" w:cs="Times New Roman"/>
          <w:b/>
          <w:bCs/>
        </w:rPr>
      </w:pPr>
      <w:r w:rsidRPr="00E5686E">
        <w:rPr>
          <w:rFonts w:ascii="Garamond" w:hAnsi="Garamond" w:cs="Times New Roman"/>
          <w:b/>
          <w:bCs/>
        </w:rPr>
        <w:t>Abstract</w:t>
      </w:r>
    </w:p>
    <w:p w14:paraId="41437656" w14:textId="1FB08ECE" w:rsidR="00E5686E" w:rsidRDefault="002E0DB8" w:rsidP="00DC037F">
      <w:pPr>
        <w:rPr>
          <w:rFonts w:ascii="Garamond" w:hAnsi="Garamond"/>
        </w:rPr>
      </w:pPr>
      <w:r w:rsidRPr="002E0DB8">
        <w:rPr>
          <w:rFonts w:ascii="Garamond" w:hAnsi="Garamond"/>
        </w:rPr>
        <w:t xml:space="preserve">This study leverages advanced data analytics and visualization tools to analyze the Heart Failure Clinical Records dataset. By exploring the relationships between clinical features and patient outcomes through platforms such as </w:t>
      </w:r>
      <w:proofErr w:type="spellStart"/>
      <w:r w:rsidRPr="002E0DB8">
        <w:rPr>
          <w:rFonts w:ascii="Garamond" w:hAnsi="Garamond"/>
        </w:rPr>
        <w:t>Jupyter</w:t>
      </w:r>
      <w:proofErr w:type="spellEnd"/>
      <w:r w:rsidRPr="002E0DB8">
        <w:rPr>
          <w:rFonts w:ascii="Garamond" w:hAnsi="Garamond"/>
        </w:rPr>
        <w:t>, Tableau, and Bokeh, this research aims to pinpoint key predictors of mortality in heart failure patients. The findings are expected to enhance risk stratification and support the development of personalized treatment plans, ultimately improving patient outcomes.</w:t>
      </w:r>
    </w:p>
    <w:p w14:paraId="1D8597E1" w14:textId="77777777" w:rsidR="00F320ED" w:rsidRPr="002E0DB8" w:rsidRDefault="00F320ED" w:rsidP="00DC037F">
      <w:pPr>
        <w:rPr>
          <w:rFonts w:ascii="Garamond" w:hAnsi="Garamond" w:cs="Times New Roman"/>
        </w:rPr>
      </w:pPr>
    </w:p>
    <w:p w14:paraId="541F9F80" w14:textId="369C7695" w:rsidR="00E5686E" w:rsidRPr="00E5686E" w:rsidRDefault="00E5686E" w:rsidP="00DC037F">
      <w:pPr>
        <w:rPr>
          <w:rFonts w:ascii="Garamond" w:hAnsi="Garamond" w:cs="Times New Roman"/>
          <w:b/>
          <w:bCs/>
        </w:rPr>
      </w:pPr>
      <w:r w:rsidRPr="00E5686E">
        <w:rPr>
          <w:rFonts w:ascii="Garamond" w:hAnsi="Garamond" w:cs="Times New Roman"/>
          <w:b/>
          <w:bCs/>
        </w:rPr>
        <w:t>Introduction</w:t>
      </w:r>
    </w:p>
    <w:p w14:paraId="5C36DEAB" w14:textId="77777777" w:rsidR="00E5686E" w:rsidRPr="00E5686E" w:rsidRDefault="00E5686E" w:rsidP="00DC037F">
      <w:pPr>
        <w:ind w:firstLine="720"/>
        <w:rPr>
          <w:rFonts w:ascii="Garamond" w:hAnsi="Garamond" w:cs="Times New Roman"/>
        </w:rPr>
      </w:pPr>
      <w:r w:rsidRPr="00E5686E">
        <w:rPr>
          <w:rFonts w:ascii="Garamond" w:hAnsi="Garamond" w:cs="Times New Roman"/>
        </w:rPr>
        <w:t>Heart failure is a prevalent condition with high morbidity and mortality rates, posing significant public health challenges. In the United States, approximately 6.7 million adults aged 20 and older are affected by heart failure. In 2022, heart failure was recorded on 457,212 death certificates, accounting for 13.9% of all deaths. The economic burden of heart failure was estimated to be $30.7 billion in 2012, encompassing healthcare services, medications, and lost productivity due to missed workdays. People suffering from heart failure can experience severe symptoms. In some cases, they might require a heart transplant or a mechanical device to assist the heart in pumping blood effectively. Understanding the factors contributing to patient outcomes is crucial for developing effective treatments and improving survival rates. This study focuses on identifying the key clinical features that predict mortality in heart failure patients using various data analytics and visualization tools. The motivation for this research stems from the need for better risk stratification tools and personalized treatment plans to enhance patient care.</w:t>
      </w:r>
    </w:p>
    <w:p w14:paraId="71B9009C" w14:textId="0BA8564E" w:rsidR="00E5686E" w:rsidRPr="00E5686E" w:rsidRDefault="0018204A" w:rsidP="00DC037F">
      <w:pPr>
        <w:ind w:firstLine="720"/>
        <w:rPr>
          <w:rFonts w:ascii="Garamond" w:hAnsi="Garamond" w:cs="Times New Roman"/>
        </w:rPr>
      </w:pPr>
      <w:r w:rsidRPr="00E5686E">
        <w:rPr>
          <w:rFonts w:ascii="Garamond" w:hAnsi="Garamond" w:cs="Times New Roman"/>
        </w:rPr>
        <w:t xml:space="preserve">Heart failure, also known as congestive heart failure, is a complex syndrome characterized by the heart's inability to pump blood effectively, leading to reduced oxygen supply to tissues and organs. </w:t>
      </w:r>
      <w:r w:rsidR="00E5686E" w:rsidRPr="00E5686E">
        <w:rPr>
          <w:rFonts w:ascii="Garamond" w:hAnsi="Garamond" w:cs="Times New Roman"/>
        </w:rPr>
        <w:t xml:space="preserve">Diagnosis of heart failure relies on symptoms, physical examination findings, and echocardiography. Blood tests and chest X-rays can help identify the underlying cause. Treatment varies based on the severity and specific circumstances of each case. Heart failure symptoms can differ depending on whether the left or right side of the heart is affected. Common symptoms include shortness of breath, excessive fatigue, and swelling in both legs. The severity of heart failure is primarily determined by the ejection fraction and the intensity of the symptoms. </w:t>
      </w:r>
    </w:p>
    <w:p w14:paraId="78A84A1B" w14:textId="77777777" w:rsidR="006B55C5" w:rsidRDefault="00E5686E" w:rsidP="00DC037F">
      <w:pPr>
        <w:ind w:firstLine="720"/>
        <w:rPr>
          <w:rFonts w:ascii="Garamond" w:hAnsi="Garamond" w:cs="Times New Roman"/>
        </w:rPr>
      </w:pPr>
      <w:r w:rsidRPr="00E5686E">
        <w:rPr>
          <w:rFonts w:ascii="Garamond" w:hAnsi="Garamond" w:cs="Times New Roman"/>
        </w:rPr>
        <w:t xml:space="preserve">Certain medical conditions can elevate your risk of heart failure, such as coronary artery disease, heart attacks, diabetes, high blood pressure, obesity, and valvular heart disease. Unhealthy behaviors, including smoking, poor diet, lack of physical activity, and excessive alcohol consumption, can also increase the risk, especially for those with existing conditions. Numerous studies have explored the factors influencing heart failure outcomes, including age, comorbidities, and biochemical markers. Previous research has highlighted the importance of variables such as ejection fraction, serum creatinine, and sodium levels in predicting patient mortality. However, there is still a need for comprehensive analyses that incorporate multiple clinical features to improve prediction accuracy. </w:t>
      </w:r>
    </w:p>
    <w:p w14:paraId="35831B77" w14:textId="12CF5ABF" w:rsidR="00E5686E" w:rsidRPr="00F320ED" w:rsidRDefault="006B55C5" w:rsidP="00DC037F">
      <w:pPr>
        <w:ind w:firstLine="720"/>
        <w:rPr>
          <w:rFonts w:ascii="Garamond" w:hAnsi="Garamond"/>
        </w:rPr>
      </w:pPr>
      <w:r w:rsidRPr="006B55C5">
        <w:rPr>
          <w:rFonts w:ascii="Garamond" w:hAnsi="Garamond"/>
        </w:rPr>
        <w:t xml:space="preserve">In this collaborative project, we strive to significantly reduce mortality rates among heart failure patients by providing actionable insights and scalable solutions. Our study's findings hold the potential to shape both clinical practices and policy decisions, particularly in settings where resources are limited, and heart failure-related deaths are prevalent. By harnessing the power of data analytics </w:t>
      </w:r>
      <w:r w:rsidRPr="006B55C5">
        <w:rPr>
          <w:rFonts w:ascii="Garamond" w:hAnsi="Garamond"/>
        </w:rPr>
        <w:lastRenderedPageBreak/>
        <w:t xml:space="preserve">and visualization, we showcase how data-driven methodologies can be applied to classify and predict heart failure risks effectively. While our analysis focuses on the heart failure dataset, </w:t>
      </w:r>
      <w:r w:rsidR="00F320ED">
        <w:rPr>
          <w:rFonts w:ascii="Garamond" w:hAnsi="Garamond"/>
        </w:rPr>
        <w:t xml:space="preserve">it </w:t>
      </w:r>
      <w:r w:rsidRPr="006B55C5">
        <w:rPr>
          <w:rFonts w:ascii="Garamond" w:hAnsi="Garamond"/>
        </w:rPr>
        <w:t xml:space="preserve">lays a generalizable foundation for creating predictive tools that can aid clinical decision-making and enhance patient outcomes. </w:t>
      </w:r>
      <w:r w:rsidR="00F320ED" w:rsidRPr="00F320ED">
        <w:rPr>
          <w:rFonts w:ascii="Garamond" w:hAnsi="Garamond"/>
        </w:rPr>
        <w:t>This paper will delve into the dataset, methodology, and key findings of our research, illustrating the profound impact of integrating data analytics with real-world health data.</w:t>
      </w:r>
    </w:p>
    <w:p w14:paraId="12A70AFD" w14:textId="77777777" w:rsidR="00DC037F" w:rsidRPr="00DC037F" w:rsidRDefault="00DC037F" w:rsidP="00DC037F">
      <w:pPr>
        <w:spacing w:before="100" w:beforeAutospacing="1" w:after="100" w:afterAutospacing="1"/>
        <w:outlineLvl w:val="2"/>
        <w:rPr>
          <w:rFonts w:ascii="Garamond" w:eastAsia="Times New Roman" w:hAnsi="Garamond" w:cs="Times New Roman"/>
          <w:b/>
          <w:bCs/>
        </w:rPr>
      </w:pPr>
      <w:r w:rsidRPr="00DC037F">
        <w:rPr>
          <w:rFonts w:ascii="Garamond" w:eastAsia="Times New Roman" w:hAnsi="Garamond" w:cs="Times New Roman"/>
          <w:b/>
          <w:bCs/>
        </w:rPr>
        <w:t>Exploratory Data Analysis</w:t>
      </w:r>
    </w:p>
    <w:p w14:paraId="2D5D54F7" w14:textId="07F35AAA" w:rsidR="00DC037F" w:rsidRDefault="00DC037F" w:rsidP="00DC037F">
      <w:pPr>
        <w:spacing w:before="100" w:beforeAutospacing="1" w:after="100" w:afterAutospacing="1"/>
        <w:rPr>
          <w:rFonts w:ascii="Garamond" w:hAnsi="Garamond"/>
        </w:rPr>
      </w:pPr>
      <w:r w:rsidRPr="00DC037F">
        <w:rPr>
          <w:rFonts w:ascii="Garamond" w:eastAsia="Times New Roman" w:hAnsi="Garamond" w:cs="Times New Roman"/>
        </w:rPr>
        <w:t xml:space="preserve">The Heart Failure Clinical Records dataset, sourced from the UCI Machine Learning Repository, consists of 299 observations with 13 attributes: Age, </w:t>
      </w:r>
      <w:r w:rsidR="007017D8" w:rsidRPr="00DC037F">
        <w:rPr>
          <w:rFonts w:ascii="Garamond" w:eastAsia="Times New Roman" w:hAnsi="Garamond" w:cs="Times New Roman"/>
        </w:rPr>
        <w:t>Anemia</w:t>
      </w:r>
      <w:r w:rsidRPr="00DC037F">
        <w:rPr>
          <w:rFonts w:ascii="Garamond" w:eastAsia="Times New Roman" w:hAnsi="Garamond" w:cs="Times New Roman"/>
        </w:rPr>
        <w:t xml:space="preserve">, Creatinine Phosphokinase, Diabetes, Ejection Fraction, High Blood Pressure, Platelets, Serum Creatinine, Serum Sodium, Sex, Smoking, Time, and </w:t>
      </w:r>
      <w:r>
        <w:rPr>
          <w:rFonts w:ascii="Garamond" w:eastAsia="Times New Roman" w:hAnsi="Garamond" w:cs="Times New Roman"/>
        </w:rPr>
        <w:t>Death event</w:t>
      </w:r>
      <w:r w:rsidRPr="00DC037F">
        <w:rPr>
          <w:rFonts w:ascii="Garamond" w:eastAsia="Times New Roman" w:hAnsi="Garamond" w:cs="Times New Roman"/>
        </w:rPr>
        <w:t xml:space="preserve">. </w:t>
      </w:r>
      <w:r w:rsidRPr="00DC037F">
        <w:rPr>
          <w:rFonts w:ascii="Garamond" w:hAnsi="Garamond"/>
        </w:rPr>
        <w:t>These variables offer a thorough snapshot of heart failure patients, encompassing critical physiological and demographic elements that affect heart failure outcomes.</w:t>
      </w:r>
    </w:p>
    <w:p w14:paraId="341DB201" w14:textId="4F59B243" w:rsidR="009C0883" w:rsidRDefault="009C0883" w:rsidP="009C0883">
      <w:pPr>
        <w:rPr>
          <w:rFonts w:ascii="Garamond" w:hAnsi="Garamond" w:cs="Times New Roman"/>
        </w:rPr>
      </w:pPr>
      <w:r w:rsidRPr="009C0883">
        <w:rPr>
          <w:rFonts w:ascii="Garamond" w:hAnsi="Garamond" w:cs="Times New Roman"/>
        </w:rPr>
        <w:t>The data was collected during the follow-up period of patients at the Faisalabad Institute of Cardiology and Allied Hospital in Faisalabad (Punjab, Pakistan) from April to December 2015. All patients had left ventricular systolic dysfunction and a history of heart failure, placing them in classes III or IV according to the New York Heart Association (NYHA) classification. The death event feature, used as the target in the binary classification study, indicates whether the patient died or survived by the end of the follow-up period, which averaged 130 days.</w:t>
      </w:r>
    </w:p>
    <w:p w14:paraId="2F43A7A8" w14:textId="77777777" w:rsidR="009C0883" w:rsidRPr="009C0883" w:rsidRDefault="009C0883" w:rsidP="009C0883">
      <w:pPr>
        <w:rPr>
          <w:rFonts w:ascii="Garamond" w:hAnsi="Garamond" w:cs="Times New Roman"/>
        </w:rPr>
      </w:pPr>
    </w:p>
    <w:p w14:paraId="70916563" w14:textId="77777777" w:rsidR="00DC037F" w:rsidRPr="00DC037F" w:rsidRDefault="00DC037F" w:rsidP="00DC037F">
      <w:pPr>
        <w:spacing w:before="100" w:beforeAutospacing="1" w:after="100" w:afterAutospacing="1"/>
        <w:rPr>
          <w:rFonts w:ascii="Garamond" w:eastAsia="Times New Roman" w:hAnsi="Garamond" w:cs="Times New Roman"/>
        </w:rPr>
      </w:pPr>
      <w:r w:rsidRPr="00DC037F">
        <w:rPr>
          <w:rFonts w:ascii="Garamond" w:eastAsia="Times New Roman" w:hAnsi="Garamond" w:cs="Times New Roman"/>
        </w:rPr>
        <w:t>The age of patients in the dataset ranges from 40 to 95 years, with an average age of 60.83 years and a standard deviation of 11.89 years. The interquartile range (IQR) indicates that 50% of the participants are between 51 and 70 years old, with a median age of 60 years. Ejection fraction values range from 14% to 80%, with a mean of 38.08% and a standard deviation of 11.83%. The median ejection fraction is 38%, and most values fall between 30% and 45%, indicating varying degrees of heart function among the participants.</w:t>
      </w:r>
    </w:p>
    <w:p w14:paraId="14EB891E" w14:textId="77777777" w:rsidR="00DC037F" w:rsidRPr="00DC037F" w:rsidRDefault="00DC037F" w:rsidP="00DC037F">
      <w:pPr>
        <w:spacing w:before="100" w:beforeAutospacing="1" w:after="100" w:afterAutospacing="1"/>
        <w:rPr>
          <w:rFonts w:ascii="Garamond" w:eastAsia="Times New Roman" w:hAnsi="Garamond" w:cs="Times New Roman"/>
        </w:rPr>
      </w:pPr>
      <w:r w:rsidRPr="00DC037F">
        <w:rPr>
          <w:rFonts w:ascii="Garamond" w:eastAsia="Times New Roman" w:hAnsi="Garamond" w:cs="Times New Roman"/>
        </w:rPr>
        <w:t>Creatinine phosphokinase levels range widely, from 23 to 7861 mcg/L, with a mean of 581.84 mcg/L and a standard deviation of 970.29 mcg/L. The median level is 250 mcg/L, and half of the values lie between 116 and 582 mcg/L. Serum creatinine levels vary from 0.50 to 9.40 mg/dL, with a mean of 1.39 mg/dL and a standard deviation of 1.03 mg/dL. The median serum creatinine level is 1.10 mg/dL, with the IQR showing that 50% of observations lie between 0.90 and 1.50 mg/dL.</w:t>
      </w:r>
    </w:p>
    <w:p w14:paraId="2AF80B02" w14:textId="19E947AE" w:rsidR="00DC037F" w:rsidRPr="00DC037F" w:rsidRDefault="00DC037F" w:rsidP="00DC037F">
      <w:pPr>
        <w:spacing w:before="100" w:beforeAutospacing="1" w:after="100" w:afterAutospacing="1"/>
        <w:rPr>
          <w:rFonts w:ascii="Garamond" w:eastAsia="Times New Roman" w:hAnsi="Garamond" w:cs="Times New Roman"/>
        </w:rPr>
      </w:pPr>
      <w:r w:rsidRPr="00DC037F">
        <w:rPr>
          <w:rFonts w:ascii="Garamond" w:eastAsia="Times New Roman" w:hAnsi="Garamond" w:cs="Times New Roman"/>
        </w:rPr>
        <w:t xml:space="preserve">Serum sodium levels range from 113 to 148 mmol/L, with a mean of 136.63 mmol/L and a standard deviation of 4.41 mmol/L. The median serum sodium level is 137 mmol/L, and most values fall between 134 and 140 mmol/L. The dataset also includes binary variables indicating </w:t>
      </w:r>
      <w:r w:rsidR="001D2FA0" w:rsidRPr="00DC037F">
        <w:rPr>
          <w:rFonts w:ascii="Garamond" w:eastAsia="Times New Roman" w:hAnsi="Garamond" w:cs="Times New Roman"/>
        </w:rPr>
        <w:t>anemia</w:t>
      </w:r>
      <w:r w:rsidRPr="00DC037F">
        <w:rPr>
          <w:rFonts w:ascii="Garamond" w:eastAsia="Times New Roman" w:hAnsi="Garamond" w:cs="Times New Roman"/>
        </w:rPr>
        <w:t xml:space="preserve"> (0: No, 1: Yes), diabetes (0: No, 1: Yes), high blood pressure (0: No, 1: Yes), sex (0: Female, 1: Male), and smoking status (0: No, 1: Yes).</w:t>
      </w:r>
    </w:p>
    <w:p w14:paraId="414EEC16" w14:textId="77777777" w:rsidR="009C0883" w:rsidRDefault="009C0883" w:rsidP="00A62FCC">
      <w:pPr>
        <w:pStyle w:val="NormalWeb"/>
        <w:rPr>
          <w:rFonts w:ascii="Garamond" w:hAnsi="Garamond"/>
        </w:rPr>
      </w:pPr>
    </w:p>
    <w:p w14:paraId="49D764A6" w14:textId="77777777" w:rsidR="009C0883" w:rsidRDefault="009C0883" w:rsidP="009C0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14:ligatures w14:val="standardContextual"/>
        </w:rPr>
      </w:pPr>
      <w:r>
        <w:rPr>
          <w:rFonts w:ascii="Times New Roman" w:hAnsi="Times New Roman" w:cs="Times New Roman"/>
          <w:color w:val="000000"/>
          <w:sz w:val="12"/>
          <w:szCs w:val="12"/>
          <w14:ligatures w14:val="standardContextual"/>
        </w:rPr>
        <w:t>1</w:t>
      </w:r>
      <w:r>
        <w:rPr>
          <w:rFonts w:ascii="Times New Roman" w:hAnsi="Times New Roman" w:cs="Times New Roman"/>
          <w:color w:val="000000"/>
          <w:sz w:val="20"/>
          <w:szCs w:val="20"/>
          <w14:ligatures w14:val="standardContextual"/>
        </w:rPr>
        <w:t xml:space="preserve"> See appendix</w:t>
      </w:r>
    </w:p>
    <w:p w14:paraId="673D18C8" w14:textId="77777777" w:rsidR="009C0883" w:rsidRPr="00482451" w:rsidRDefault="009C0883" w:rsidP="009C0883">
      <w:pPr>
        <w:rPr>
          <w:rFonts w:ascii="Garamond" w:eastAsia="Times New Roman" w:hAnsi="Garamond" w:cs="Arial"/>
          <w:kern w:val="36"/>
          <w:sz w:val="18"/>
          <w:szCs w:val="18"/>
        </w:rPr>
      </w:pPr>
      <w:r>
        <w:rPr>
          <w:sz w:val="12"/>
          <w:szCs w:val="12"/>
        </w:rPr>
        <w:t>2</w:t>
      </w:r>
      <w:r>
        <w:t xml:space="preserve"> </w:t>
      </w:r>
      <w:r w:rsidRPr="00482451">
        <w:rPr>
          <w:rFonts w:ascii="Times New Roman" w:hAnsi="Times New Roman" w:cs="Times New Roman"/>
          <w:sz w:val="20"/>
          <w:szCs w:val="20"/>
        </w:rPr>
        <w:t>UCI Machine Learning Repository, "</w:t>
      </w:r>
      <w:r w:rsidRPr="00482451">
        <w:rPr>
          <w:rFonts w:ascii="Times New Roman" w:eastAsia="Times New Roman" w:hAnsi="Times New Roman" w:cs="Times New Roman"/>
          <w:kern w:val="36"/>
          <w:sz w:val="20"/>
          <w:szCs w:val="20"/>
        </w:rPr>
        <w:t>Heart Failure Clinical Records</w:t>
      </w:r>
      <w:r w:rsidRPr="00482451">
        <w:rPr>
          <w:rFonts w:ascii="Times New Roman" w:hAnsi="Times New Roman" w:cs="Times New Roman"/>
          <w:sz w:val="20"/>
          <w:szCs w:val="20"/>
        </w:rPr>
        <w:t>" accessed February 14,</w:t>
      </w:r>
    </w:p>
    <w:p w14:paraId="2DECA0C0" w14:textId="77777777" w:rsidR="009C0883" w:rsidRDefault="009C0883" w:rsidP="009C0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14:ligatures w14:val="standardContextual"/>
        </w:rPr>
      </w:pPr>
      <w:r>
        <w:rPr>
          <w:rFonts w:ascii="Times New Roman" w:hAnsi="Times New Roman" w:cs="Times New Roman"/>
          <w:color w:val="000000"/>
          <w:sz w:val="20"/>
          <w:szCs w:val="20"/>
          <w14:ligatures w14:val="standardContextual"/>
        </w:rPr>
        <w:t xml:space="preserve">2025, </w:t>
      </w:r>
      <w:r w:rsidRPr="00482451">
        <w:rPr>
          <w:rFonts w:ascii="Times New Roman" w:hAnsi="Times New Roman" w:cs="Times New Roman"/>
          <w:color w:val="0000FF"/>
          <w:sz w:val="20"/>
          <w:szCs w:val="20"/>
          <w14:ligatures w14:val="standardContextual"/>
        </w:rPr>
        <w:t>https://archive.ics.uci.edu/dataset/519/heart+failure+clinical+records</w:t>
      </w:r>
      <w:r>
        <w:rPr>
          <w:rFonts w:ascii="Times New Roman" w:hAnsi="Times New Roman" w:cs="Times New Roman"/>
          <w:color w:val="000000"/>
          <w:sz w:val="20"/>
          <w:szCs w:val="20"/>
          <w14:ligatures w14:val="standardContextual"/>
        </w:rPr>
        <w:t>.</w:t>
      </w:r>
    </w:p>
    <w:p w14:paraId="69DFB566" w14:textId="77777777" w:rsidR="009C0883" w:rsidRDefault="009C0883" w:rsidP="009C0883">
      <w:pPr>
        <w:rPr>
          <w:rFonts w:ascii="Garamond" w:hAnsi="Garamond" w:cs="Times New Roman"/>
          <w:b/>
          <w:bCs/>
        </w:rPr>
      </w:pPr>
      <w:r>
        <w:rPr>
          <w:rFonts w:ascii="Times New Roman" w:hAnsi="Times New Roman" w:cs="Times New Roman"/>
          <w:color w:val="000000"/>
          <w:sz w:val="12"/>
          <w:szCs w:val="12"/>
          <w14:ligatures w14:val="standardContextual"/>
        </w:rPr>
        <w:t>3</w:t>
      </w:r>
      <w:r>
        <w:rPr>
          <w:rFonts w:ascii="Times New Roman" w:hAnsi="Times New Roman" w:cs="Times New Roman"/>
          <w:color w:val="000000"/>
          <w:sz w:val="20"/>
          <w:szCs w:val="20"/>
          <w14:ligatures w14:val="standardContextual"/>
        </w:rPr>
        <w:t xml:space="preserve"> See appendix</w:t>
      </w:r>
    </w:p>
    <w:p w14:paraId="72379704" w14:textId="77777777" w:rsidR="009C0883" w:rsidRDefault="009C0883" w:rsidP="00A62FCC">
      <w:pPr>
        <w:pStyle w:val="NormalWeb"/>
        <w:rPr>
          <w:rFonts w:ascii="Garamond" w:hAnsi="Garamond"/>
        </w:rPr>
      </w:pPr>
    </w:p>
    <w:p w14:paraId="26F19E97" w14:textId="0BC3D10D" w:rsidR="00A62FCC" w:rsidRPr="00E5686E" w:rsidRDefault="00DC037F" w:rsidP="00A62FCC">
      <w:pPr>
        <w:pStyle w:val="NormalWeb"/>
        <w:rPr>
          <w:rFonts w:ascii="Garamond" w:hAnsi="Garamond"/>
        </w:rPr>
      </w:pPr>
      <w:r w:rsidRPr="00DC037F">
        <w:rPr>
          <w:rFonts w:ascii="Garamond" w:hAnsi="Garamond"/>
        </w:rPr>
        <w:t xml:space="preserve">The target variable, </w:t>
      </w:r>
      <w:r>
        <w:rPr>
          <w:rFonts w:ascii="Garamond" w:hAnsi="Garamond"/>
        </w:rPr>
        <w:t>Death event</w:t>
      </w:r>
      <w:r w:rsidRPr="00DC037F">
        <w:rPr>
          <w:rFonts w:ascii="Garamond" w:hAnsi="Garamond"/>
        </w:rPr>
        <w:t>, categorizes patient outcomes into two classes: 0 (No Event) and 1 (Event). During the exploratory data analysis phase, the distribution of death events was thoroughly examined to confirm the dataset's suitability for classification tasks. These descriptive statistics offer valuable insights into the dataset’s composition and variability, pinpointing critical predictors like age, ejection fraction, creatinine levels, and blood pressure. These variables are crucial for effectively modeling heart failure outcomes.</w:t>
      </w:r>
    </w:p>
    <w:p w14:paraId="0768ECCF" w14:textId="77777777" w:rsidR="00B3100D" w:rsidRDefault="00B3100D" w:rsidP="00203CEB">
      <w:pPr>
        <w:rPr>
          <w:rFonts w:ascii="Garamond" w:hAnsi="Garamond" w:cs="Times New Roman"/>
          <w:b/>
          <w:bCs/>
        </w:rPr>
      </w:pPr>
    </w:p>
    <w:p w14:paraId="5497F6F3" w14:textId="3B3F533C" w:rsidR="00203CEB" w:rsidRDefault="00E5686E" w:rsidP="00203CEB">
      <w:pPr>
        <w:rPr>
          <w:rFonts w:ascii="Garamond" w:hAnsi="Garamond" w:cs="Times New Roman"/>
          <w:b/>
          <w:bCs/>
        </w:rPr>
      </w:pPr>
      <w:r w:rsidRPr="00B16704">
        <w:rPr>
          <w:rFonts w:ascii="Garamond" w:hAnsi="Garamond" w:cs="Times New Roman"/>
          <w:b/>
          <w:bCs/>
        </w:rPr>
        <w:t>Method</w:t>
      </w:r>
      <w:r w:rsidR="00203CEB">
        <w:rPr>
          <w:rFonts w:ascii="Garamond" w:hAnsi="Garamond" w:cs="Times New Roman"/>
          <w:b/>
          <w:bCs/>
        </w:rPr>
        <w:t>ology</w:t>
      </w:r>
    </w:p>
    <w:p w14:paraId="780D4F9B" w14:textId="100DBBFC" w:rsidR="00B3100D" w:rsidRPr="00B3100D" w:rsidRDefault="00B3100D" w:rsidP="00B3100D">
      <w:pPr>
        <w:ind w:firstLine="720"/>
        <w:rPr>
          <w:rFonts w:ascii="Garamond" w:hAnsi="Garamond"/>
        </w:rPr>
      </w:pPr>
      <w:r w:rsidRPr="00B3100D">
        <w:rPr>
          <w:rFonts w:ascii="Garamond" w:hAnsi="Garamond"/>
        </w:rPr>
        <w:t xml:space="preserve">The Heart Failure Clinical Records dataset was meticulously examined for missing values using </w:t>
      </w:r>
      <w:proofErr w:type="spellStart"/>
      <w:proofErr w:type="gramStart"/>
      <w:r w:rsidR="008D2ECE">
        <w:rPr>
          <w:rFonts w:ascii="Garamond" w:hAnsi="Garamond"/>
        </w:rPr>
        <w:t>isnull</w:t>
      </w:r>
      <w:proofErr w:type="spellEnd"/>
      <w:r w:rsidR="008D2ECE">
        <w:rPr>
          <w:rFonts w:ascii="Garamond" w:hAnsi="Garamond"/>
        </w:rPr>
        <w:t>(</w:t>
      </w:r>
      <w:proofErr w:type="gramEnd"/>
      <w:r w:rsidR="008D2ECE">
        <w:rPr>
          <w:rFonts w:ascii="Garamond" w:hAnsi="Garamond"/>
        </w:rPr>
        <w:t>)</w:t>
      </w:r>
      <w:r w:rsidRPr="00B3100D">
        <w:rPr>
          <w:rFonts w:ascii="Garamond" w:hAnsi="Garamond"/>
        </w:rPr>
        <w:t xml:space="preserve">. Remarkably, the dataset contained no missing values, allowing us to retain all 299 entries for a comprehensive analysis. The target variable, </w:t>
      </w:r>
      <w:r>
        <w:rPr>
          <w:rFonts w:ascii="Garamond" w:eastAsia="Times New Roman" w:hAnsi="Garamond" w:cs="Times New Roman"/>
        </w:rPr>
        <w:t>Death event</w:t>
      </w:r>
      <w:r w:rsidRPr="00B3100D">
        <w:rPr>
          <w:rFonts w:ascii="Garamond" w:hAnsi="Garamond"/>
        </w:rPr>
        <w:t>, was already in a binary format, making it suitable for our machine learning classification tasks.</w:t>
      </w:r>
    </w:p>
    <w:p w14:paraId="2FD78CF4" w14:textId="77777777" w:rsidR="00B3100D" w:rsidRDefault="00B3100D" w:rsidP="00B3100D">
      <w:pPr>
        <w:rPr>
          <w:rFonts w:ascii="Garamond" w:hAnsi="Garamond"/>
        </w:rPr>
      </w:pPr>
      <w:r w:rsidRPr="00B3100D">
        <w:rPr>
          <w:rFonts w:ascii="Garamond" w:hAnsi="Garamond"/>
        </w:rPr>
        <w:t xml:space="preserve">The exploratory data analysis (EDA) phase involved a detailed examination of the dataset's distribution of death events to confirm its suitability for classification tasks. Descriptive statistics such as mean, median, standard deviation, and ranges were calculated for all variables to gain an understanding of the data distribution. </w:t>
      </w:r>
    </w:p>
    <w:p w14:paraId="5DAD27AB" w14:textId="2B15305F" w:rsidR="00B3100D" w:rsidRPr="00B3100D" w:rsidRDefault="00B3100D" w:rsidP="00B3100D">
      <w:pPr>
        <w:ind w:firstLine="720"/>
        <w:rPr>
          <w:rFonts w:ascii="Garamond" w:hAnsi="Garamond"/>
        </w:rPr>
      </w:pPr>
      <w:r w:rsidRPr="00B3100D">
        <w:rPr>
          <w:rFonts w:ascii="Garamond" w:hAnsi="Garamond"/>
        </w:rPr>
        <w:t>Various visualization techniques were employed to explore relationships and patterns within the data. Histograms, box plots, scatter plots, bar charts, and heatmaps were created using libraries such as Matplotlib, Seaborn, and</w:t>
      </w:r>
      <w:r w:rsidR="001D2FA0">
        <w:rPr>
          <w:rFonts w:ascii="Garamond" w:hAnsi="Garamond"/>
        </w:rPr>
        <w:t xml:space="preserve"> Tableau</w:t>
      </w:r>
      <w:r w:rsidRPr="00B3100D">
        <w:rPr>
          <w:rFonts w:ascii="Garamond" w:hAnsi="Garamond"/>
        </w:rPr>
        <w:t>. These visualizations were instrumental in identifying critical predictors such as age, ejection fraction, creatinine levels, and blood pressure, which are vital for effectively modeling heart failure outcomes. Furthermore, correlation analysis was conducted to identify relationships between different variables, providing insights into potential predictors of the target variable.</w:t>
      </w:r>
    </w:p>
    <w:p w14:paraId="2ABA7E61" w14:textId="055488E5" w:rsidR="00B3100D" w:rsidRPr="00B3100D" w:rsidRDefault="00B3100D" w:rsidP="00B3100D">
      <w:pPr>
        <w:ind w:firstLine="720"/>
        <w:rPr>
          <w:rFonts w:ascii="Garamond" w:hAnsi="Garamond"/>
        </w:rPr>
      </w:pPr>
      <w:r w:rsidRPr="00B3100D">
        <w:rPr>
          <w:rFonts w:ascii="Garamond" w:hAnsi="Garamond"/>
        </w:rPr>
        <w:t xml:space="preserve">Random Forest Classifier was selected for predicting heart failure outcomes due to its ability to handle non-linear relationships, improve classification accuracy, and reduce overfitting by building multiple trees and averaging their predictions. The model was trained on the standardized training dataset and evaluated on the test dataset. To ensure robust model performance and generalizability to unseen data, five-fold stratified cross-validation was employed. This approach ensured proportional representation of the </w:t>
      </w:r>
      <w:r>
        <w:rPr>
          <w:rFonts w:ascii="Garamond" w:eastAsia="Times New Roman" w:hAnsi="Garamond" w:cs="Times New Roman"/>
        </w:rPr>
        <w:t>Death event</w:t>
      </w:r>
      <w:r w:rsidRPr="00B3100D">
        <w:rPr>
          <w:rFonts w:ascii="Garamond" w:hAnsi="Garamond"/>
        </w:rPr>
        <w:t xml:space="preserve"> classes in both training and validation subsets during cross-validation. The model's performance was evaluated using metrics such as accuracy, F1-score, and AUC (Area Under the ROC Curve).</w:t>
      </w:r>
    </w:p>
    <w:p w14:paraId="40086E61" w14:textId="0F5B6EBC" w:rsidR="00B3100D" w:rsidRPr="00B3100D" w:rsidRDefault="00B3100D" w:rsidP="00B3100D">
      <w:pPr>
        <w:ind w:firstLine="720"/>
        <w:rPr>
          <w:rFonts w:ascii="Garamond" w:hAnsi="Garamond"/>
        </w:rPr>
      </w:pPr>
      <w:r w:rsidRPr="00B3100D">
        <w:rPr>
          <w:rFonts w:ascii="Garamond" w:hAnsi="Garamond"/>
        </w:rPr>
        <w:t>The final model was interpreted using feature importance analysis to understand the contribution of each feature. The results were visualized using various plots, including confusion matrices, ROC curves, and feature importance plots, to effectively communicate the findings. These visualizations provided valuable insights into the dataset's structure and variability, highlighting critical predictors for heart failure outcomes.</w:t>
      </w:r>
    </w:p>
    <w:p w14:paraId="1E7F643E" w14:textId="74B99A25" w:rsidR="00B3100D" w:rsidRPr="00B3100D" w:rsidRDefault="00B3100D" w:rsidP="00B3100D">
      <w:pPr>
        <w:ind w:firstLine="720"/>
        <w:rPr>
          <w:rFonts w:ascii="Garamond" w:hAnsi="Garamond"/>
        </w:rPr>
      </w:pPr>
      <w:r>
        <w:rPr>
          <w:rFonts w:ascii="Garamond" w:hAnsi="Garamond"/>
        </w:rPr>
        <w:t>B</w:t>
      </w:r>
      <w:r w:rsidRPr="00B3100D">
        <w:rPr>
          <w:rFonts w:ascii="Garamond" w:hAnsi="Garamond"/>
        </w:rPr>
        <w:t>y applying these data analytics and visualization techniques, the study aimed to explore and interpret the heart failure dataset effectively, assess feature importance, and develop actionable insights for risk assessment in heart failure patients. These insights have potential applications in clinical and real-world settings, contributing to improved patient outcomes and better understanding of heart failure prognosis.</w:t>
      </w:r>
    </w:p>
    <w:p w14:paraId="183572AC" w14:textId="77777777" w:rsidR="00B3100D" w:rsidRPr="00B3100D" w:rsidRDefault="00B3100D" w:rsidP="00B3100D">
      <w:pPr>
        <w:rPr>
          <w:rFonts w:ascii="Garamond" w:hAnsi="Garamond"/>
        </w:rPr>
      </w:pPr>
    </w:p>
    <w:p w14:paraId="2F12DC27" w14:textId="77777777" w:rsidR="003D573A" w:rsidRDefault="003D573A" w:rsidP="00377600">
      <w:pPr>
        <w:rPr>
          <w:rFonts w:ascii="Garamond" w:hAnsi="Garamond" w:cs="Times New Roman"/>
          <w:b/>
          <w:bCs/>
        </w:rPr>
      </w:pPr>
    </w:p>
    <w:p w14:paraId="39FDACC0" w14:textId="77777777" w:rsidR="003D573A" w:rsidRDefault="003D573A" w:rsidP="00377600">
      <w:pPr>
        <w:rPr>
          <w:rFonts w:ascii="Garamond" w:hAnsi="Garamond" w:cs="Times New Roman"/>
          <w:b/>
          <w:bCs/>
        </w:rPr>
      </w:pPr>
    </w:p>
    <w:p w14:paraId="2EFB0661" w14:textId="019486A2" w:rsidR="00377600" w:rsidRPr="00B0521E" w:rsidRDefault="00377600" w:rsidP="00377600">
      <w:pPr>
        <w:rPr>
          <w:rFonts w:ascii="Garamond" w:hAnsi="Garamond" w:cs="Times New Roman"/>
          <w:b/>
          <w:bCs/>
        </w:rPr>
      </w:pPr>
      <w:r w:rsidRPr="00B0521E">
        <w:rPr>
          <w:rFonts w:ascii="Garamond" w:hAnsi="Garamond" w:cs="Times New Roman"/>
          <w:b/>
          <w:bCs/>
        </w:rPr>
        <w:lastRenderedPageBreak/>
        <w:t>Main Findings</w:t>
      </w:r>
    </w:p>
    <w:p w14:paraId="71426B61" w14:textId="77777777" w:rsidR="008845DE" w:rsidRDefault="004B0F56" w:rsidP="004B0F56">
      <w:pPr>
        <w:rPr>
          <w:rFonts w:ascii="Garamond" w:hAnsi="Garamond" w:cs="Times New Roman"/>
        </w:rPr>
      </w:pPr>
      <w:r>
        <w:tab/>
      </w:r>
      <w:r w:rsidRPr="004B0F56">
        <w:rPr>
          <w:rFonts w:ascii="Garamond" w:hAnsi="Garamond"/>
        </w:rPr>
        <w:t>This analysis utilized various visualizations, including histograms, scatter plots, and box plots, to explore the relationships between key variables in heart failure patients. The visualizations focused on ejection fraction, serum creatinine, and death events to uncover significant patterns and trends. It</w:t>
      </w:r>
      <w:r w:rsidR="00377600" w:rsidRPr="004B0F56">
        <w:rPr>
          <w:rFonts w:ascii="Garamond" w:hAnsi="Garamond" w:cs="Times New Roman"/>
        </w:rPr>
        <w:t xml:space="preserve"> predict</w:t>
      </w:r>
      <w:r w:rsidRPr="004B0F56">
        <w:rPr>
          <w:rFonts w:ascii="Garamond" w:hAnsi="Garamond" w:cs="Times New Roman"/>
        </w:rPr>
        <w:t>s</w:t>
      </w:r>
      <w:r w:rsidR="00377600" w:rsidRPr="00377600">
        <w:rPr>
          <w:rFonts w:ascii="Garamond" w:hAnsi="Garamond" w:cs="Times New Roman"/>
        </w:rPr>
        <w:t xml:space="preserve"> heart failure outcomes using a supervised learning model, focusing on two classes: </w:t>
      </w:r>
      <w:r w:rsidR="00D210C4">
        <w:rPr>
          <w:rFonts w:ascii="Garamond" w:hAnsi="Garamond" w:cs="Times New Roman"/>
        </w:rPr>
        <w:t>no death event</w:t>
      </w:r>
      <w:r w:rsidR="00377600" w:rsidRPr="00377600">
        <w:rPr>
          <w:rFonts w:ascii="Garamond" w:hAnsi="Garamond" w:cs="Times New Roman"/>
        </w:rPr>
        <w:t xml:space="preserve"> (0) and </w:t>
      </w:r>
      <w:r w:rsidR="00D210C4">
        <w:rPr>
          <w:rFonts w:ascii="Garamond" w:hAnsi="Garamond" w:cs="Times New Roman"/>
        </w:rPr>
        <w:t>death event</w:t>
      </w:r>
      <w:r w:rsidR="00377600" w:rsidRPr="00377600">
        <w:rPr>
          <w:rFonts w:ascii="Garamond" w:hAnsi="Garamond" w:cs="Times New Roman"/>
        </w:rPr>
        <w:t xml:space="preserve"> (1). </w:t>
      </w:r>
    </w:p>
    <w:p w14:paraId="4B81F729" w14:textId="77777777" w:rsidR="008845DE" w:rsidRDefault="008845DE" w:rsidP="004B0F56">
      <w:pPr>
        <w:rPr>
          <w:rFonts w:ascii="Garamond" w:hAnsi="Garamond" w:cs="Times New Roman"/>
        </w:rPr>
      </w:pPr>
    </w:p>
    <w:p w14:paraId="55332902" w14:textId="2C1F45DB" w:rsidR="00377600" w:rsidRPr="00377600" w:rsidRDefault="008845DE" w:rsidP="008845DE">
      <w:pPr>
        <w:rPr>
          <w:rFonts w:ascii="Garamond" w:hAnsi="Garamond" w:cs="Times New Roman"/>
        </w:rPr>
      </w:pPr>
      <w:r>
        <w:rPr>
          <w:rFonts w:ascii="Garamond" w:hAnsi="Garamond" w:cs="Times New Roman"/>
        </w:rPr>
        <w:tab/>
      </w:r>
      <w:r w:rsidR="00377600" w:rsidRPr="00377600">
        <w:rPr>
          <w:rFonts w:ascii="Garamond" w:hAnsi="Garamond" w:cs="Times New Roman"/>
        </w:rPr>
        <w:t>The primary model evaluated was a classifier whose performance was measured by accuracy, confusion matrix, classification report, and ROC AUC score.</w:t>
      </w:r>
      <w:r>
        <w:rPr>
          <w:rFonts w:ascii="Garamond" w:hAnsi="Garamond" w:cs="Times New Roman"/>
        </w:rPr>
        <w:t xml:space="preserve"> </w:t>
      </w:r>
      <w:r w:rsidR="00377600" w:rsidRPr="00377600">
        <w:rPr>
          <w:rFonts w:ascii="Garamond" w:hAnsi="Garamond" w:cs="Times New Roman"/>
        </w:rPr>
        <w:t xml:space="preserve">The classifier achieved an overall accuracy of 82.2%. The confusion matrix showed that the model correctly classified 58 instances of </w:t>
      </w:r>
      <w:r w:rsidR="00377600">
        <w:rPr>
          <w:rFonts w:ascii="Garamond" w:hAnsi="Garamond" w:cs="Times New Roman"/>
        </w:rPr>
        <w:t>no death event</w:t>
      </w:r>
      <w:r w:rsidR="00377600" w:rsidRPr="00377600">
        <w:rPr>
          <w:rFonts w:ascii="Garamond" w:hAnsi="Garamond" w:cs="Times New Roman"/>
        </w:rPr>
        <w:t xml:space="preserve"> (0) and 1</w:t>
      </w:r>
      <w:r w:rsidR="00377600">
        <w:rPr>
          <w:rFonts w:ascii="Garamond" w:hAnsi="Garamond" w:cs="Times New Roman"/>
        </w:rPr>
        <w:t>6</w:t>
      </w:r>
      <w:r w:rsidR="00377600" w:rsidRPr="00377600">
        <w:rPr>
          <w:rFonts w:ascii="Garamond" w:hAnsi="Garamond" w:cs="Times New Roman"/>
        </w:rPr>
        <w:t xml:space="preserve"> instances of </w:t>
      </w:r>
      <w:r w:rsidR="00377600">
        <w:rPr>
          <w:rFonts w:ascii="Garamond" w:hAnsi="Garamond" w:cs="Times New Roman"/>
        </w:rPr>
        <w:t>death event</w:t>
      </w:r>
      <w:r w:rsidR="00377600" w:rsidRPr="00377600">
        <w:rPr>
          <w:rFonts w:ascii="Garamond" w:hAnsi="Garamond" w:cs="Times New Roman"/>
        </w:rPr>
        <w:t xml:space="preserve"> (1). However, it incorrectly classified 13 instances of </w:t>
      </w:r>
      <w:r w:rsidR="00377600">
        <w:rPr>
          <w:rFonts w:ascii="Garamond" w:hAnsi="Garamond" w:cs="Times New Roman"/>
        </w:rPr>
        <w:t>death event</w:t>
      </w:r>
      <w:r w:rsidR="00377600" w:rsidRPr="00377600">
        <w:rPr>
          <w:rFonts w:ascii="Garamond" w:hAnsi="Garamond" w:cs="Times New Roman"/>
        </w:rPr>
        <w:t xml:space="preserve"> (1) as </w:t>
      </w:r>
      <w:r w:rsidR="00377600">
        <w:rPr>
          <w:rFonts w:ascii="Garamond" w:hAnsi="Garamond" w:cs="Times New Roman"/>
        </w:rPr>
        <w:t xml:space="preserve">no death </w:t>
      </w:r>
      <w:r w:rsidR="00CC2A33">
        <w:rPr>
          <w:rFonts w:ascii="Garamond" w:hAnsi="Garamond" w:cs="Times New Roman"/>
        </w:rPr>
        <w:t>event</w:t>
      </w:r>
      <w:r w:rsidR="00377600" w:rsidRPr="00377600">
        <w:rPr>
          <w:rFonts w:ascii="Garamond" w:hAnsi="Garamond" w:cs="Times New Roman"/>
        </w:rPr>
        <w:t xml:space="preserve"> (0) and 3 instances of </w:t>
      </w:r>
      <w:r w:rsidR="00377600">
        <w:rPr>
          <w:rFonts w:ascii="Garamond" w:hAnsi="Garamond" w:cs="Times New Roman"/>
        </w:rPr>
        <w:t xml:space="preserve">no death </w:t>
      </w:r>
      <w:r w:rsidR="00CC2A33">
        <w:rPr>
          <w:rFonts w:ascii="Garamond" w:hAnsi="Garamond" w:cs="Times New Roman"/>
        </w:rPr>
        <w:t>event</w:t>
      </w:r>
      <w:r w:rsidR="00377600" w:rsidRPr="00377600">
        <w:rPr>
          <w:rFonts w:ascii="Garamond" w:hAnsi="Garamond" w:cs="Times New Roman"/>
        </w:rPr>
        <w:t xml:space="preserve"> (0) as </w:t>
      </w:r>
      <w:r w:rsidR="00377600">
        <w:rPr>
          <w:rFonts w:ascii="Garamond" w:hAnsi="Garamond" w:cs="Times New Roman"/>
        </w:rPr>
        <w:t>death event</w:t>
      </w:r>
      <w:r w:rsidR="00377600" w:rsidRPr="00377600">
        <w:rPr>
          <w:rFonts w:ascii="Garamond" w:hAnsi="Garamond" w:cs="Times New Roman"/>
        </w:rPr>
        <w:t xml:space="preserve"> (1).</w:t>
      </w:r>
    </w:p>
    <w:p w14:paraId="68BCF9FC" w14:textId="2C8076B2" w:rsidR="00377600" w:rsidRPr="00377600" w:rsidRDefault="00377600" w:rsidP="002E235E">
      <w:pPr>
        <w:ind w:firstLine="720"/>
        <w:rPr>
          <w:rFonts w:ascii="Garamond" w:hAnsi="Garamond" w:cs="Times New Roman"/>
        </w:rPr>
      </w:pPr>
      <w:r w:rsidRPr="00377600">
        <w:rPr>
          <w:rFonts w:ascii="Garamond" w:hAnsi="Garamond" w:cs="Times New Roman"/>
        </w:rPr>
        <w:t>The ROC AUC score of 0.8836 indicates a good discrimination ability of the model between the two classes.</w:t>
      </w:r>
      <w:r w:rsidR="002E235E">
        <w:rPr>
          <w:rFonts w:ascii="Garamond" w:hAnsi="Garamond" w:cs="Times New Roman"/>
        </w:rPr>
        <w:t xml:space="preserve"> </w:t>
      </w:r>
      <w:r w:rsidRPr="00377600">
        <w:rPr>
          <w:rFonts w:ascii="Garamond" w:hAnsi="Garamond" w:cs="Times New Roman"/>
        </w:rPr>
        <w:t xml:space="preserve">The classifier demonstrated strong performance in predicting </w:t>
      </w:r>
      <w:r w:rsidR="002E235E">
        <w:rPr>
          <w:rFonts w:ascii="Garamond" w:hAnsi="Garamond" w:cs="Times New Roman"/>
        </w:rPr>
        <w:t>no death event</w:t>
      </w:r>
      <w:r w:rsidRPr="00377600">
        <w:rPr>
          <w:rFonts w:ascii="Garamond" w:hAnsi="Garamond" w:cs="Times New Roman"/>
        </w:rPr>
        <w:t xml:space="preserve"> (0) cases with high precision and recall. However, it faced challenges in predicting </w:t>
      </w:r>
      <w:r w:rsidR="002E235E">
        <w:rPr>
          <w:rFonts w:ascii="Garamond" w:hAnsi="Garamond" w:cs="Times New Roman"/>
        </w:rPr>
        <w:t>death event</w:t>
      </w:r>
      <w:r w:rsidR="002E235E" w:rsidRPr="00377600">
        <w:rPr>
          <w:rFonts w:ascii="Garamond" w:hAnsi="Garamond" w:cs="Times New Roman"/>
        </w:rPr>
        <w:t xml:space="preserve"> </w:t>
      </w:r>
      <w:r w:rsidRPr="00377600">
        <w:rPr>
          <w:rFonts w:ascii="Garamond" w:hAnsi="Garamond" w:cs="Times New Roman"/>
        </w:rPr>
        <w:t>(1) cases, with a lower recall of 0.55, indicating some difficulty in correctly identifying all</w:t>
      </w:r>
      <w:r w:rsidR="002E235E">
        <w:rPr>
          <w:rFonts w:ascii="Garamond" w:hAnsi="Garamond" w:cs="Times New Roman"/>
        </w:rPr>
        <w:t xml:space="preserve"> death event</w:t>
      </w:r>
      <w:r w:rsidR="002E235E" w:rsidRPr="00377600">
        <w:rPr>
          <w:rFonts w:ascii="Garamond" w:hAnsi="Garamond" w:cs="Times New Roman"/>
        </w:rPr>
        <w:t xml:space="preserve"> </w:t>
      </w:r>
      <w:r w:rsidRPr="00377600">
        <w:rPr>
          <w:rFonts w:ascii="Garamond" w:hAnsi="Garamond" w:cs="Times New Roman"/>
        </w:rPr>
        <w:t>instances. The strong ROC AUC score suggests that the model can effectively distinguish between the two classes.</w:t>
      </w:r>
    </w:p>
    <w:p w14:paraId="4952CE03" w14:textId="40A4B526" w:rsidR="00B459D8" w:rsidRPr="00377600" w:rsidRDefault="002E235E" w:rsidP="002E235E">
      <w:pPr>
        <w:rPr>
          <w:rFonts w:ascii="Garamond" w:hAnsi="Garamond" w:cs="Times New Roman"/>
        </w:rPr>
      </w:pPr>
      <w:r>
        <w:rPr>
          <w:rFonts w:ascii="Garamond" w:hAnsi="Garamond" w:cs="Times New Roman"/>
        </w:rPr>
        <w:tab/>
      </w:r>
      <w:r w:rsidR="00377600" w:rsidRPr="00377600">
        <w:rPr>
          <w:rFonts w:ascii="Garamond" w:hAnsi="Garamond" w:cs="Times New Roman"/>
        </w:rPr>
        <w:t xml:space="preserve">Overall, this model shows promise in identifying heart failure outcomes, particularly in predicting </w:t>
      </w:r>
      <w:r w:rsidR="00043873">
        <w:rPr>
          <w:rFonts w:ascii="Garamond" w:hAnsi="Garamond" w:cs="Times New Roman"/>
        </w:rPr>
        <w:t>no death event</w:t>
      </w:r>
      <w:r w:rsidR="00043873" w:rsidRPr="00377600">
        <w:rPr>
          <w:rFonts w:ascii="Garamond" w:hAnsi="Garamond" w:cs="Times New Roman"/>
        </w:rPr>
        <w:t xml:space="preserve"> </w:t>
      </w:r>
      <w:r w:rsidR="00377600" w:rsidRPr="00377600">
        <w:rPr>
          <w:rFonts w:ascii="Garamond" w:hAnsi="Garamond" w:cs="Times New Roman"/>
        </w:rPr>
        <w:t>cases. Effective early identification of</w:t>
      </w:r>
      <w:r w:rsidR="00043873">
        <w:rPr>
          <w:rFonts w:ascii="Garamond" w:hAnsi="Garamond" w:cs="Times New Roman"/>
        </w:rPr>
        <w:t xml:space="preserve"> death event</w:t>
      </w:r>
      <w:r w:rsidR="00043873" w:rsidRPr="00377600">
        <w:rPr>
          <w:rFonts w:ascii="Garamond" w:hAnsi="Garamond" w:cs="Times New Roman"/>
        </w:rPr>
        <w:t xml:space="preserve"> </w:t>
      </w:r>
      <w:r w:rsidR="00377600" w:rsidRPr="00377600">
        <w:rPr>
          <w:rFonts w:ascii="Garamond" w:hAnsi="Garamond" w:cs="Times New Roman"/>
        </w:rPr>
        <w:t>cases can lead to timely interventions, potentially reducing adverse outcomes and improving patient care.</w:t>
      </w:r>
    </w:p>
    <w:p w14:paraId="4F8AEC6C" w14:textId="77777777" w:rsidR="00C5697E" w:rsidRDefault="00C5697E" w:rsidP="00DC037F">
      <w:pPr>
        <w:rPr>
          <w:rFonts w:ascii="Garamond" w:hAnsi="Garamond" w:cs="Times New Roman"/>
          <w:b/>
          <w:bCs/>
        </w:rPr>
      </w:pPr>
    </w:p>
    <w:p w14:paraId="66FD048A" w14:textId="77777777" w:rsidR="00507D6A" w:rsidRDefault="0013538B" w:rsidP="00507D6A">
      <w:pPr>
        <w:pStyle w:val="NormalWeb"/>
        <w:rPr>
          <w:rFonts w:ascii="Garamond" w:hAnsi="Garamond"/>
          <w:i/>
          <w:iCs/>
        </w:rPr>
      </w:pPr>
      <w:r w:rsidRPr="0013538B">
        <w:rPr>
          <w:rStyle w:val="Strong"/>
          <w:rFonts w:ascii="Garamond" w:eastAsiaTheme="majorEastAsia" w:hAnsi="Garamond"/>
          <w:b w:val="0"/>
          <w:bCs w:val="0"/>
          <w:i/>
          <w:iCs/>
        </w:rPr>
        <w:t>Key Trends and Patterns</w:t>
      </w:r>
    </w:p>
    <w:p w14:paraId="4DF3F4F1" w14:textId="2F779A7D" w:rsidR="00507D6A" w:rsidRDefault="00507D6A" w:rsidP="00507D6A">
      <w:pPr>
        <w:pStyle w:val="NormalWeb"/>
        <w:rPr>
          <w:rFonts w:ascii="Garamond" w:hAnsi="Garamond"/>
        </w:rPr>
      </w:pPr>
      <w:r>
        <w:rPr>
          <w:rFonts w:ascii="Garamond" w:hAnsi="Garamond"/>
          <w:i/>
          <w:iCs/>
        </w:rPr>
        <w:tab/>
      </w:r>
      <w:r w:rsidR="0013538B" w:rsidRPr="0013538B">
        <w:rPr>
          <w:rStyle w:val="Strong"/>
          <w:rFonts w:ascii="Garamond" w:eastAsiaTheme="majorEastAsia" w:hAnsi="Garamond"/>
          <w:b w:val="0"/>
          <w:bCs w:val="0"/>
        </w:rPr>
        <w:t>Ejection Fraction</w:t>
      </w:r>
      <w:r w:rsidR="0013538B" w:rsidRPr="0013538B">
        <w:rPr>
          <w:rFonts w:ascii="Garamond" w:hAnsi="Garamond"/>
        </w:rPr>
        <w:t xml:space="preserve">: The </w:t>
      </w:r>
      <w:r>
        <w:rPr>
          <w:rFonts w:ascii="Garamond" w:hAnsi="Garamond"/>
        </w:rPr>
        <w:t>boxplot</w:t>
      </w:r>
      <w:r w:rsidR="0013538B" w:rsidRPr="0013538B">
        <w:rPr>
          <w:rFonts w:ascii="Garamond" w:hAnsi="Garamond"/>
        </w:rPr>
        <w:t xml:space="preserve"> showed that </w:t>
      </w:r>
      <w:proofErr w:type="gramStart"/>
      <w:r w:rsidR="0013538B" w:rsidRPr="0013538B">
        <w:rPr>
          <w:rFonts w:ascii="Garamond" w:hAnsi="Garamond"/>
        </w:rPr>
        <w:t>the majority of</w:t>
      </w:r>
      <w:proofErr w:type="gramEnd"/>
      <w:r w:rsidR="0013538B" w:rsidRPr="0013538B">
        <w:rPr>
          <w:rFonts w:ascii="Garamond" w:hAnsi="Garamond"/>
        </w:rPr>
        <w:t xml:space="preserve"> patients had an ejection fraction between 40% and 60%. There was a noticeable decrease in the number of patients with ejection fractions below 40%, indicating that lower ejection fractions are less common.</w:t>
      </w:r>
    </w:p>
    <w:p w14:paraId="12DE9B36" w14:textId="574FCCDF" w:rsidR="006F2E82" w:rsidRDefault="006F2E82" w:rsidP="00507D6A">
      <w:pPr>
        <w:pStyle w:val="NormalWeb"/>
        <w:rPr>
          <w:rFonts w:ascii="Garamond" w:hAnsi="Garamond"/>
          <w:i/>
          <w:iCs/>
        </w:rPr>
      </w:pPr>
      <w:r>
        <w:rPr>
          <w:rStyle w:val="Strong"/>
          <w:rFonts w:ascii="Garamond" w:eastAsiaTheme="majorEastAsia" w:hAnsi="Garamond"/>
          <w:b w:val="0"/>
          <w:bCs w:val="0"/>
        </w:rPr>
        <w:tab/>
      </w:r>
      <w:r w:rsidRPr="0013538B">
        <w:rPr>
          <w:rStyle w:val="Strong"/>
          <w:rFonts w:ascii="Garamond" w:eastAsiaTheme="majorEastAsia" w:hAnsi="Garamond"/>
          <w:b w:val="0"/>
          <w:bCs w:val="0"/>
        </w:rPr>
        <w:t>Ejection Fraction by Death Event</w:t>
      </w:r>
      <w:r w:rsidRPr="0013538B">
        <w:rPr>
          <w:rFonts w:ascii="Garamond" w:hAnsi="Garamond"/>
        </w:rPr>
        <w:t>: The box plot indicated that patients who experienced a death event had significantly lower ejection fractions compared to those who survived. The median ejection fraction for deceased patients was around 35%, whereas for surviving patients, it was around 50%.</w:t>
      </w:r>
    </w:p>
    <w:p w14:paraId="14EA67D4" w14:textId="598A182F" w:rsidR="006F2E82" w:rsidRDefault="00507D6A" w:rsidP="006F2E82">
      <w:pPr>
        <w:pStyle w:val="NormalWeb"/>
        <w:rPr>
          <w:rStyle w:val="Strong"/>
          <w:rFonts w:ascii="Garamond" w:eastAsiaTheme="majorEastAsia" w:hAnsi="Garamond"/>
          <w:b w:val="0"/>
          <w:bCs w:val="0"/>
        </w:rPr>
      </w:pPr>
      <w:r>
        <w:rPr>
          <w:rFonts w:ascii="Garamond" w:hAnsi="Garamond"/>
          <w:i/>
          <w:iCs/>
        </w:rPr>
        <w:tab/>
      </w:r>
      <w:r w:rsidR="00300BEE" w:rsidRPr="00300BEE">
        <w:rPr>
          <w:rStyle w:val="Strong"/>
          <w:rFonts w:ascii="Garamond" w:eastAsiaTheme="majorEastAsia" w:hAnsi="Garamond"/>
          <w:b w:val="0"/>
          <w:bCs w:val="0"/>
        </w:rPr>
        <w:t>Serum Creatinine vs. Ejection Fraction: The scatter plot revealed no significant correlation between serum creatinine levels and ejection fraction. The data points did not show any clear pattern or relationship between these two variables.</w:t>
      </w:r>
    </w:p>
    <w:p w14:paraId="33D1045D" w14:textId="4C2899A8" w:rsidR="00462372" w:rsidRPr="006F2E82" w:rsidRDefault="00462372" w:rsidP="006F2E82">
      <w:pPr>
        <w:pStyle w:val="NormalWeb"/>
        <w:rPr>
          <w:rFonts w:ascii="Garamond" w:eastAsiaTheme="majorEastAsia" w:hAnsi="Garamond"/>
        </w:rPr>
      </w:pPr>
      <w:r>
        <w:rPr>
          <w:rStyle w:val="Strong"/>
          <w:rFonts w:ascii="Garamond" w:eastAsiaTheme="majorEastAsia" w:hAnsi="Garamond"/>
          <w:b w:val="0"/>
          <w:bCs w:val="0"/>
        </w:rPr>
        <w:tab/>
      </w:r>
      <w:r w:rsidRPr="00300BEE">
        <w:rPr>
          <w:rStyle w:val="Strong"/>
          <w:rFonts w:ascii="Garamond" w:eastAsiaTheme="majorEastAsia" w:hAnsi="Garamond"/>
          <w:b w:val="0"/>
          <w:bCs w:val="0"/>
        </w:rPr>
        <w:t>Serum Creatinine</w:t>
      </w:r>
      <w:r w:rsidRPr="0013538B">
        <w:rPr>
          <w:rFonts w:ascii="Garamond" w:hAnsi="Garamond"/>
        </w:rPr>
        <w:t xml:space="preserve">: The </w:t>
      </w:r>
      <w:r>
        <w:rPr>
          <w:rFonts w:ascii="Garamond" w:hAnsi="Garamond"/>
        </w:rPr>
        <w:t>boxplot</w:t>
      </w:r>
      <w:r w:rsidRPr="0013538B">
        <w:rPr>
          <w:rFonts w:ascii="Garamond" w:hAnsi="Garamond"/>
        </w:rPr>
        <w:t xml:space="preserve"> showed that </w:t>
      </w:r>
      <w:proofErr w:type="gramStart"/>
      <w:r w:rsidRPr="0013538B">
        <w:rPr>
          <w:rFonts w:ascii="Garamond" w:hAnsi="Garamond"/>
        </w:rPr>
        <w:t>the majority of</w:t>
      </w:r>
      <w:proofErr w:type="gramEnd"/>
      <w:r w:rsidRPr="0013538B">
        <w:rPr>
          <w:rFonts w:ascii="Garamond" w:hAnsi="Garamond"/>
        </w:rPr>
        <w:t xml:space="preserve"> patients </w:t>
      </w:r>
      <w:r>
        <w:rPr>
          <w:rFonts w:ascii="Garamond" w:hAnsi="Garamond"/>
        </w:rPr>
        <w:t xml:space="preserve">with high </w:t>
      </w:r>
      <w:r w:rsidRPr="00300BEE">
        <w:rPr>
          <w:rStyle w:val="Strong"/>
          <w:rFonts w:ascii="Garamond" w:eastAsiaTheme="majorEastAsia" w:hAnsi="Garamond"/>
          <w:b w:val="0"/>
          <w:bCs w:val="0"/>
        </w:rPr>
        <w:t>Serum Creatinine</w:t>
      </w:r>
      <w:r w:rsidRPr="0013538B">
        <w:rPr>
          <w:rFonts w:ascii="Garamond" w:hAnsi="Garamond"/>
        </w:rPr>
        <w:t xml:space="preserve"> </w:t>
      </w:r>
      <w:r>
        <w:rPr>
          <w:rFonts w:ascii="Garamond" w:hAnsi="Garamond"/>
        </w:rPr>
        <w:t>have a high death event.</w:t>
      </w:r>
    </w:p>
    <w:p w14:paraId="3009EB37" w14:textId="77777777" w:rsidR="00FA1DA8" w:rsidRDefault="006F2E82" w:rsidP="00FA1DA8">
      <w:pPr>
        <w:pStyle w:val="NormalWeb"/>
        <w:rPr>
          <w:rFonts w:ascii="Garamond" w:hAnsi="Garamond"/>
        </w:rPr>
      </w:pPr>
      <w:r>
        <w:rPr>
          <w:rFonts w:ascii="Garamond" w:hAnsi="Garamond"/>
          <w:i/>
          <w:iCs/>
        </w:rPr>
        <w:tab/>
      </w:r>
      <w:r w:rsidR="0013538B" w:rsidRPr="0013538B">
        <w:rPr>
          <w:rFonts w:ascii="Garamond" w:hAnsi="Garamond"/>
        </w:rPr>
        <w:t xml:space="preserve">Patients with lower ejection fractions and higher serum creatinine levels were more likely to experience death events. </w:t>
      </w:r>
      <w:r w:rsidR="00FA1DA8" w:rsidRPr="0013538B">
        <w:rPr>
          <w:rFonts w:ascii="Garamond" w:hAnsi="Garamond"/>
        </w:rPr>
        <w:t>This suggests that these two variables are critical indicators of heart failure severity.</w:t>
      </w:r>
    </w:p>
    <w:p w14:paraId="57B19DF5" w14:textId="77777777" w:rsidR="00FA1DA8" w:rsidRDefault="00FA1DA8" w:rsidP="00867D20">
      <w:pPr>
        <w:pStyle w:val="NormalWeb"/>
        <w:rPr>
          <w:rStyle w:val="Strong"/>
          <w:rFonts w:ascii="Garamond" w:eastAsiaTheme="majorEastAsia" w:hAnsi="Garamond"/>
        </w:rPr>
      </w:pPr>
    </w:p>
    <w:p w14:paraId="7EDAA0D6" w14:textId="297A6641" w:rsidR="00867D20" w:rsidRPr="00867D20" w:rsidRDefault="00867D20" w:rsidP="00867D20">
      <w:pPr>
        <w:pStyle w:val="NormalWeb"/>
        <w:rPr>
          <w:rFonts w:ascii="Garamond" w:hAnsi="Garamond"/>
        </w:rPr>
      </w:pPr>
      <w:r w:rsidRPr="00867D20">
        <w:rPr>
          <w:rStyle w:val="Strong"/>
          <w:rFonts w:ascii="Garamond" w:eastAsiaTheme="majorEastAsia" w:hAnsi="Garamond"/>
        </w:rPr>
        <w:lastRenderedPageBreak/>
        <w:t>Discussion/Conclusion</w:t>
      </w:r>
    </w:p>
    <w:p w14:paraId="695BB314" w14:textId="77777777" w:rsidR="0059542A" w:rsidRDefault="0059542A" w:rsidP="00867D20">
      <w:pPr>
        <w:pStyle w:val="NormalWeb"/>
        <w:rPr>
          <w:rFonts w:ascii="Garamond" w:hAnsi="Garamond"/>
        </w:rPr>
      </w:pPr>
      <w:r>
        <w:rPr>
          <w:rFonts w:ascii="Garamond" w:hAnsi="Garamond"/>
        </w:rPr>
        <w:tab/>
      </w:r>
      <w:r w:rsidR="00867D20" w:rsidRPr="00867D20">
        <w:rPr>
          <w:rFonts w:ascii="Garamond" w:hAnsi="Garamond"/>
        </w:rPr>
        <w:t>This study aimed to analyze the factors contributing to mortality in heart failure patients using data analytics and visualization tools. Through the exploration of the Heart Failure Clinical Records dataset, we identified key clinical features that significantly influence patient outcomes, such as ejection fraction, serum creatinine levels, and age. The combination of these features was then used to predict the likelihood of mortality using machine learning techniques.</w:t>
      </w:r>
      <w:r>
        <w:rPr>
          <w:rFonts w:ascii="Garamond" w:hAnsi="Garamond"/>
        </w:rPr>
        <w:t xml:space="preserve"> </w:t>
      </w:r>
    </w:p>
    <w:p w14:paraId="0E50B1E8" w14:textId="7DF1E63F" w:rsidR="00867D20" w:rsidRPr="00867D20" w:rsidRDefault="0059542A" w:rsidP="00867D20">
      <w:pPr>
        <w:pStyle w:val="NormalWeb"/>
        <w:rPr>
          <w:rFonts w:ascii="Garamond" w:hAnsi="Garamond"/>
        </w:rPr>
      </w:pPr>
      <w:r>
        <w:rPr>
          <w:rFonts w:ascii="Garamond" w:hAnsi="Garamond"/>
        </w:rPr>
        <w:tab/>
      </w:r>
      <w:r w:rsidR="00867D20" w:rsidRPr="00867D20">
        <w:rPr>
          <w:rFonts w:ascii="Garamond" w:hAnsi="Garamond"/>
        </w:rPr>
        <w:t>One of the most notable findings was the strong association between lower ejection fractions and increased mortality risk. The boxplot analysis revealed that deceased patients had significantly lower ejection fractions compared to those who survived. This aligns with existing medical literature that identifies reduced ejection fraction as a critical indicator of heart failure severity. Ejection fraction, a measure of the heart's pumping ability, is essential in assessing the prognosis of heart failure patients, with lower values typically indicating worse outcomes.</w:t>
      </w:r>
    </w:p>
    <w:p w14:paraId="48C5C9C7" w14:textId="441AF2E0" w:rsidR="00867D20" w:rsidRPr="00867D20" w:rsidRDefault="0059542A" w:rsidP="00867D20">
      <w:pPr>
        <w:pStyle w:val="NormalWeb"/>
        <w:rPr>
          <w:rFonts w:ascii="Garamond" w:hAnsi="Garamond"/>
        </w:rPr>
      </w:pPr>
      <w:r>
        <w:rPr>
          <w:rFonts w:ascii="Garamond" w:hAnsi="Garamond"/>
        </w:rPr>
        <w:tab/>
      </w:r>
      <w:r w:rsidR="00867D20" w:rsidRPr="00867D20">
        <w:rPr>
          <w:rFonts w:ascii="Garamond" w:hAnsi="Garamond"/>
        </w:rPr>
        <w:t>Serum creatinine levels also emerged as a crucial predictor of mortality, with patients exhibiting higher creatinine levels having an increased likelihood of death events. Elevated serum creatinine often signals kidney dysfunction, which is a common complication of heart failure and has been linked to worse patient outcomes. This underscores the interconnectedness of organ systems, where kidney impairment can exacerbate the progression of heart failure, ultimately affecting survival rates.</w:t>
      </w:r>
    </w:p>
    <w:p w14:paraId="66DAAF7B" w14:textId="2069E57E" w:rsidR="00867D20" w:rsidRPr="00867D20" w:rsidRDefault="0059542A" w:rsidP="00867D20">
      <w:pPr>
        <w:pStyle w:val="NormalWeb"/>
        <w:rPr>
          <w:rFonts w:ascii="Garamond" w:hAnsi="Garamond"/>
        </w:rPr>
      </w:pPr>
      <w:r>
        <w:rPr>
          <w:rFonts w:ascii="Garamond" w:hAnsi="Garamond"/>
        </w:rPr>
        <w:tab/>
      </w:r>
      <w:r w:rsidR="00867D20" w:rsidRPr="00867D20">
        <w:rPr>
          <w:rFonts w:ascii="Garamond" w:hAnsi="Garamond"/>
        </w:rPr>
        <w:t xml:space="preserve">The Random Forest Classifier used in the study demonstrated </w:t>
      </w:r>
      <w:r w:rsidR="00493CF0">
        <w:rPr>
          <w:rFonts w:ascii="Garamond" w:hAnsi="Garamond"/>
        </w:rPr>
        <w:t xml:space="preserve">high </w:t>
      </w:r>
      <w:r w:rsidR="00867D20" w:rsidRPr="00867D20">
        <w:rPr>
          <w:rFonts w:ascii="Garamond" w:hAnsi="Garamond"/>
        </w:rPr>
        <w:t>performance, achieving an accuracy of 82.2%, which is promising for clinical decision-making. The ROC AUC score of 0.8836 indicates that the model is effective at distinguishing between patients who will survive and those who will experience a fatal event. However, while the model was successful in identifying patients who survived (high precision and recall for "no death event"), it showed some challenges in predicting "death event" cases, as indicated by the lower recall for this class. This suggests that while the model is strong overall, it could benefit from further tuning, particularly for improving sensitivity in identifying high-risk patients who are more likely to experience a death event.</w:t>
      </w:r>
    </w:p>
    <w:p w14:paraId="6E8AF9DE" w14:textId="4BAE64C1" w:rsidR="00867D20" w:rsidRPr="00867D20" w:rsidRDefault="0059542A" w:rsidP="00867D20">
      <w:pPr>
        <w:pStyle w:val="NormalWeb"/>
        <w:rPr>
          <w:rFonts w:ascii="Garamond" w:hAnsi="Garamond"/>
        </w:rPr>
      </w:pPr>
      <w:r>
        <w:rPr>
          <w:rFonts w:ascii="Garamond" w:hAnsi="Garamond"/>
        </w:rPr>
        <w:tab/>
      </w:r>
      <w:r w:rsidR="00867D20" w:rsidRPr="00867D20">
        <w:rPr>
          <w:rFonts w:ascii="Garamond" w:hAnsi="Garamond"/>
        </w:rPr>
        <w:t>The visualizations provided critical insights into the distribution and relationships of various clinical variables. Histograms, box plots, and scatter plots helped identify trends, such as the higher frequency of death events among patients with lower ejection fractions and higher serum creatinine levels. These visual tools proved invaluable in guiding the analysis and confirming the relevance of certain features, such as ejection fraction and serum creatinine, in predicting mortality risk.</w:t>
      </w:r>
    </w:p>
    <w:p w14:paraId="0ACB7352" w14:textId="5405B1BF" w:rsidR="003D573A" w:rsidRDefault="0059542A" w:rsidP="00867D20">
      <w:pPr>
        <w:pStyle w:val="NormalWeb"/>
        <w:rPr>
          <w:rFonts w:ascii="Garamond" w:hAnsi="Garamond"/>
        </w:rPr>
      </w:pPr>
      <w:r>
        <w:rPr>
          <w:rFonts w:ascii="Garamond" w:hAnsi="Garamond"/>
        </w:rPr>
        <w:tab/>
      </w:r>
      <w:r w:rsidR="00867D20" w:rsidRPr="00867D20">
        <w:rPr>
          <w:rFonts w:ascii="Garamond" w:hAnsi="Garamond"/>
        </w:rPr>
        <w:t>The findings from this analysis have important implications for clinical practice. By identifying the key predictors of mortality in heart failure patients, healthcare providers can better stratify patient risk, enabling earlier interventions and more personalized treatment plans. For instance, patients with low ejection fractions and elevated serum creatinine levels could be closely monitored and provided with targeted therapies to improve their chances of survival.</w:t>
      </w:r>
      <w:r>
        <w:rPr>
          <w:rFonts w:ascii="Garamond" w:hAnsi="Garamond"/>
        </w:rPr>
        <w:tab/>
      </w:r>
    </w:p>
    <w:p w14:paraId="126BBF73" w14:textId="77777777" w:rsidR="003D573A" w:rsidRDefault="003D573A" w:rsidP="003D57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14:ligatures w14:val="standardContextual"/>
        </w:rPr>
      </w:pPr>
      <w:r>
        <w:rPr>
          <w:rFonts w:ascii="Times New Roman" w:hAnsi="Times New Roman" w:cs="Times New Roman"/>
          <w:color w:val="000000"/>
          <w:sz w:val="12"/>
          <w:szCs w:val="12"/>
          <w14:ligatures w14:val="standardContextual"/>
        </w:rPr>
        <w:t>3</w:t>
      </w:r>
      <w:r>
        <w:rPr>
          <w:rFonts w:ascii="Times New Roman" w:hAnsi="Times New Roman" w:cs="Times New Roman"/>
          <w:color w:val="000000"/>
          <w:sz w:val="20"/>
          <w:szCs w:val="20"/>
          <w14:ligatures w14:val="standardContextual"/>
        </w:rPr>
        <w:t xml:space="preserve"> See appendix</w:t>
      </w:r>
    </w:p>
    <w:p w14:paraId="4A9C4EF5" w14:textId="77777777" w:rsidR="003D573A" w:rsidRDefault="003D573A" w:rsidP="003D57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14:ligatures w14:val="standardContextual"/>
        </w:rPr>
      </w:pPr>
      <w:r>
        <w:rPr>
          <w:rFonts w:ascii="Times New Roman" w:hAnsi="Times New Roman" w:cs="Times New Roman"/>
          <w:color w:val="000000"/>
          <w:sz w:val="12"/>
          <w:szCs w:val="12"/>
          <w14:ligatures w14:val="standardContextual"/>
        </w:rPr>
        <w:t>4</w:t>
      </w:r>
      <w:r>
        <w:rPr>
          <w:rFonts w:ascii="Times New Roman" w:hAnsi="Times New Roman" w:cs="Times New Roman"/>
          <w:color w:val="000000"/>
          <w:sz w:val="20"/>
          <w:szCs w:val="20"/>
          <w14:ligatures w14:val="standardContextual"/>
        </w:rPr>
        <w:t xml:space="preserve"> See appendix</w:t>
      </w:r>
    </w:p>
    <w:p w14:paraId="698DDEF9" w14:textId="77777777" w:rsidR="003D573A" w:rsidRPr="002E235E" w:rsidRDefault="003D573A" w:rsidP="003D573A">
      <w:pPr>
        <w:rPr>
          <w:rFonts w:ascii="Garamond" w:hAnsi="Garamond" w:cs="Times New Roman"/>
        </w:rPr>
      </w:pPr>
      <w:r>
        <w:rPr>
          <w:rFonts w:ascii="Times New Roman" w:hAnsi="Times New Roman" w:cs="Times New Roman"/>
          <w:color w:val="000000"/>
          <w:sz w:val="12"/>
          <w:szCs w:val="12"/>
          <w14:ligatures w14:val="standardContextual"/>
        </w:rPr>
        <w:t>5</w:t>
      </w:r>
      <w:r>
        <w:rPr>
          <w:rFonts w:ascii="Times New Roman" w:hAnsi="Times New Roman" w:cs="Times New Roman"/>
          <w:color w:val="000000"/>
          <w:sz w:val="20"/>
          <w:szCs w:val="20"/>
          <w14:ligatures w14:val="standardContextual"/>
        </w:rPr>
        <w:t xml:space="preserve"> See appendix</w:t>
      </w:r>
    </w:p>
    <w:p w14:paraId="02AFEBB9" w14:textId="77777777" w:rsidR="003D573A" w:rsidRPr="008845DE" w:rsidRDefault="003D573A" w:rsidP="003D57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14:ligatures w14:val="standardContextual"/>
        </w:rPr>
      </w:pPr>
      <w:r>
        <w:rPr>
          <w:rFonts w:ascii="Times New Roman" w:hAnsi="Times New Roman" w:cs="Times New Roman"/>
          <w:color w:val="000000"/>
          <w:sz w:val="12"/>
          <w:szCs w:val="12"/>
          <w14:ligatures w14:val="standardContextual"/>
        </w:rPr>
        <w:t xml:space="preserve">6 </w:t>
      </w:r>
      <w:r>
        <w:rPr>
          <w:rFonts w:ascii="Times New Roman" w:hAnsi="Times New Roman" w:cs="Times New Roman"/>
          <w:color w:val="000000"/>
          <w:sz w:val="20"/>
          <w:szCs w:val="20"/>
          <w14:ligatures w14:val="standardContextual"/>
        </w:rPr>
        <w:t>See appendix</w:t>
      </w:r>
    </w:p>
    <w:p w14:paraId="31F2D5F3" w14:textId="77777777" w:rsidR="003D573A" w:rsidRDefault="003D573A" w:rsidP="003D573A">
      <w:pPr>
        <w:rPr>
          <w:rFonts w:ascii="Garamond" w:hAnsi="Garamond" w:cs="Times New Roman"/>
        </w:rPr>
      </w:pPr>
    </w:p>
    <w:p w14:paraId="25E9B905" w14:textId="77777777" w:rsidR="003D573A" w:rsidRDefault="003D573A" w:rsidP="00867D20">
      <w:pPr>
        <w:pStyle w:val="NormalWeb"/>
        <w:rPr>
          <w:rFonts w:ascii="Garamond" w:hAnsi="Garamond"/>
        </w:rPr>
      </w:pPr>
    </w:p>
    <w:p w14:paraId="014C5CE2" w14:textId="3A13D546" w:rsidR="00867D20" w:rsidRPr="00867D20" w:rsidRDefault="00D868B9" w:rsidP="00867D20">
      <w:pPr>
        <w:pStyle w:val="NormalWeb"/>
        <w:rPr>
          <w:rFonts w:ascii="Garamond" w:hAnsi="Garamond"/>
        </w:rPr>
      </w:pPr>
      <w:r>
        <w:rPr>
          <w:rFonts w:ascii="Garamond" w:hAnsi="Garamond"/>
        </w:rPr>
        <w:t>Finally</w:t>
      </w:r>
      <w:r w:rsidR="00867D20" w:rsidRPr="00867D20">
        <w:rPr>
          <w:rFonts w:ascii="Garamond" w:hAnsi="Garamond"/>
        </w:rPr>
        <w:t>, this research demonstrates the potential of leveraging data analytics and machine learning to improve the prediction of mortality outcomes in heart failure patients. The combination of robust data visualization and predictive modeling offers a powerful tool for clinicians to make more informed decisions, ultimately contributing to better patient outcomes. Future work could involve exploring other machine learning algorithms and expanding the dataset to further enhance prediction accuracy and generalizability. Additionally, integrating real-time clinical data into these predictive models could make them even more actionable in clinical settings, ultimately transforming the approach to heart failure management.</w:t>
      </w:r>
    </w:p>
    <w:p w14:paraId="76BFBD59" w14:textId="77777777" w:rsidR="00867D20" w:rsidRDefault="00867D20" w:rsidP="006F2E82">
      <w:pPr>
        <w:pStyle w:val="NormalWeb"/>
        <w:rPr>
          <w:rFonts w:ascii="Garamond" w:hAnsi="Garamond"/>
        </w:rPr>
      </w:pPr>
    </w:p>
    <w:p w14:paraId="5BB46DD6" w14:textId="77777777" w:rsidR="00C5697E" w:rsidRDefault="00C5697E" w:rsidP="00DC037F">
      <w:pPr>
        <w:rPr>
          <w:rFonts w:ascii="Garamond" w:hAnsi="Garamond" w:cs="Times New Roman"/>
          <w:b/>
          <w:bCs/>
        </w:rPr>
      </w:pPr>
    </w:p>
    <w:p w14:paraId="3067580C" w14:textId="77777777" w:rsidR="00C5697E" w:rsidRDefault="00C5697E" w:rsidP="00DC037F">
      <w:pPr>
        <w:rPr>
          <w:rFonts w:ascii="Garamond" w:hAnsi="Garamond" w:cs="Times New Roman"/>
          <w:b/>
          <w:bCs/>
        </w:rPr>
      </w:pPr>
    </w:p>
    <w:tbl>
      <w:tblPr>
        <w:tblpPr w:leftFromText="180" w:rightFromText="180" w:vertAnchor="page" w:horzAnchor="page" w:tblpX="1" w:tblpY="1921"/>
        <w:tblW w:w="724" w:type="dxa"/>
        <w:tblCellMar>
          <w:top w:w="15" w:type="dxa"/>
          <w:left w:w="15" w:type="dxa"/>
          <w:bottom w:w="15" w:type="dxa"/>
          <w:right w:w="15" w:type="dxa"/>
        </w:tblCellMar>
        <w:tblLook w:val="04A0" w:firstRow="1" w:lastRow="0" w:firstColumn="1" w:lastColumn="0" w:noHBand="0" w:noVBand="1"/>
      </w:tblPr>
      <w:tblGrid>
        <w:gridCol w:w="724"/>
      </w:tblGrid>
      <w:tr w:rsidR="00194E8E" w:rsidRPr="00794EF2" w14:paraId="5C1BCC49" w14:textId="77777777" w:rsidTr="00194E8E">
        <w:trPr>
          <w:trHeight w:val="240"/>
          <w:tblHeader/>
        </w:trPr>
        <w:tc>
          <w:tcPr>
            <w:tcW w:w="724" w:type="dxa"/>
            <w:tcBorders>
              <w:top w:val="nil"/>
              <w:left w:val="nil"/>
              <w:bottom w:val="nil"/>
              <w:right w:val="nil"/>
            </w:tcBorders>
            <w:tcMar>
              <w:top w:w="120" w:type="dxa"/>
              <w:left w:w="120" w:type="dxa"/>
              <w:bottom w:w="120" w:type="dxa"/>
              <w:right w:w="120" w:type="dxa"/>
            </w:tcMar>
            <w:vAlign w:val="center"/>
            <w:hideMark/>
          </w:tcPr>
          <w:p w14:paraId="17264B00" w14:textId="77777777" w:rsidR="00194E8E" w:rsidRPr="00794EF2" w:rsidRDefault="00194E8E" w:rsidP="00794EF2">
            <w:pPr>
              <w:rPr>
                <w:rFonts w:ascii="Times New Roman" w:eastAsia="Times New Roman" w:hAnsi="Times New Roman" w:cs="Times New Roman"/>
                <w:sz w:val="11"/>
                <w:szCs w:val="11"/>
              </w:rPr>
            </w:pPr>
          </w:p>
        </w:tc>
      </w:tr>
    </w:tbl>
    <w:p w14:paraId="29008F6E" w14:textId="77777777" w:rsidR="006E2ECD" w:rsidRDefault="00E951C5" w:rsidP="00DC037F">
      <w:pPr>
        <w:rPr>
          <w:rFonts w:ascii="Garamond" w:hAnsi="Garamond" w:cs="Times New Roman"/>
          <w:b/>
          <w:bCs/>
        </w:rPr>
      </w:pPr>
      <w:r>
        <w:rPr>
          <w:rFonts w:ascii="Garamond" w:hAnsi="Garamond" w:cs="Times New Roman"/>
          <w:b/>
          <w:bCs/>
        </w:rPr>
        <w:t xml:space="preserve"> </w:t>
      </w:r>
      <w:r w:rsidR="005F0FB2">
        <w:rPr>
          <w:rFonts w:ascii="Garamond" w:hAnsi="Garamond" w:cs="Times New Roman"/>
          <w:b/>
          <w:bCs/>
        </w:rPr>
        <w:t xml:space="preserve">                           </w:t>
      </w:r>
      <w:r w:rsidR="002D53E1">
        <w:rPr>
          <w:rFonts w:ascii="Garamond" w:hAnsi="Garamond" w:cs="Times New Roman"/>
          <w:b/>
          <w:bCs/>
        </w:rPr>
        <w:t xml:space="preserve">                             </w:t>
      </w:r>
      <w:r w:rsidR="005F0FB2">
        <w:rPr>
          <w:rFonts w:ascii="Garamond" w:hAnsi="Garamond" w:cs="Times New Roman"/>
          <w:b/>
          <w:bCs/>
        </w:rPr>
        <w:t xml:space="preserve">     </w:t>
      </w:r>
    </w:p>
    <w:p w14:paraId="1641CE06" w14:textId="77777777" w:rsidR="006E2ECD" w:rsidRDefault="006E2ECD" w:rsidP="00DC037F">
      <w:pPr>
        <w:rPr>
          <w:rFonts w:ascii="Garamond" w:hAnsi="Garamond" w:cs="Times New Roman"/>
          <w:b/>
          <w:bCs/>
        </w:rPr>
      </w:pPr>
    </w:p>
    <w:p w14:paraId="38B7C1B9" w14:textId="77777777" w:rsidR="006E2ECD" w:rsidRDefault="006E2ECD" w:rsidP="00DC037F">
      <w:pPr>
        <w:rPr>
          <w:rFonts w:ascii="Garamond" w:hAnsi="Garamond" w:cs="Times New Roman"/>
          <w:b/>
          <w:bCs/>
        </w:rPr>
      </w:pPr>
    </w:p>
    <w:p w14:paraId="302AC4FB" w14:textId="77777777" w:rsidR="006E2ECD" w:rsidRDefault="006E2ECD" w:rsidP="00DC037F">
      <w:pPr>
        <w:rPr>
          <w:rFonts w:ascii="Garamond" w:hAnsi="Garamond" w:cs="Times New Roman"/>
          <w:b/>
          <w:bCs/>
        </w:rPr>
      </w:pPr>
    </w:p>
    <w:p w14:paraId="1746FA08" w14:textId="77777777" w:rsidR="006E2ECD" w:rsidRDefault="006E2ECD" w:rsidP="00DC037F">
      <w:pPr>
        <w:rPr>
          <w:rFonts w:ascii="Garamond" w:hAnsi="Garamond" w:cs="Times New Roman"/>
          <w:b/>
          <w:bCs/>
        </w:rPr>
      </w:pPr>
    </w:p>
    <w:p w14:paraId="33C90B91" w14:textId="77777777" w:rsidR="006E2ECD" w:rsidRDefault="006E2ECD" w:rsidP="00DC037F">
      <w:pPr>
        <w:rPr>
          <w:rFonts w:ascii="Garamond" w:hAnsi="Garamond" w:cs="Times New Roman"/>
          <w:b/>
          <w:bCs/>
        </w:rPr>
      </w:pPr>
    </w:p>
    <w:p w14:paraId="61569B01" w14:textId="77777777" w:rsidR="006E2ECD" w:rsidRDefault="006E2ECD" w:rsidP="00DC037F">
      <w:pPr>
        <w:rPr>
          <w:rFonts w:ascii="Garamond" w:hAnsi="Garamond" w:cs="Times New Roman"/>
          <w:b/>
          <w:bCs/>
        </w:rPr>
      </w:pPr>
    </w:p>
    <w:p w14:paraId="646C53D0" w14:textId="77777777" w:rsidR="006E2ECD" w:rsidRDefault="006E2ECD" w:rsidP="00DC037F">
      <w:pPr>
        <w:rPr>
          <w:rFonts w:ascii="Garamond" w:hAnsi="Garamond" w:cs="Times New Roman"/>
          <w:b/>
          <w:bCs/>
        </w:rPr>
      </w:pPr>
    </w:p>
    <w:p w14:paraId="443D254B" w14:textId="77777777" w:rsidR="006E2ECD" w:rsidRDefault="006E2ECD" w:rsidP="00DC037F">
      <w:pPr>
        <w:rPr>
          <w:rFonts w:ascii="Garamond" w:hAnsi="Garamond" w:cs="Times New Roman"/>
          <w:b/>
          <w:bCs/>
        </w:rPr>
      </w:pPr>
    </w:p>
    <w:p w14:paraId="5AD536EB" w14:textId="77777777" w:rsidR="006E2ECD" w:rsidRDefault="006E2ECD" w:rsidP="00DC037F">
      <w:pPr>
        <w:rPr>
          <w:rFonts w:ascii="Garamond" w:hAnsi="Garamond" w:cs="Times New Roman"/>
          <w:b/>
          <w:bCs/>
        </w:rPr>
      </w:pPr>
    </w:p>
    <w:p w14:paraId="269ACB26" w14:textId="77777777" w:rsidR="006E2ECD" w:rsidRDefault="006E2ECD" w:rsidP="00DC037F">
      <w:pPr>
        <w:rPr>
          <w:rFonts w:ascii="Garamond" w:hAnsi="Garamond" w:cs="Times New Roman"/>
          <w:b/>
          <w:bCs/>
        </w:rPr>
      </w:pPr>
    </w:p>
    <w:p w14:paraId="3923E4B5" w14:textId="77777777" w:rsidR="006E2ECD" w:rsidRDefault="006E2ECD" w:rsidP="00DC037F">
      <w:pPr>
        <w:rPr>
          <w:rFonts w:ascii="Garamond" w:hAnsi="Garamond" w:cs="Times New Roman"/>
          <w:b/>
          <w:bCs/>
        </w:rPr>
      </w:pPr>
    </w:p>
    <w:p w14:paraId="5EB12271" w14:textId="77777777" w:rsidR="006E2ECD" w:rsidRDefault="006E2ECD" w:rsidP="00DC037F">
      <w:pPr>
        <w:rPr>
          <w:rFonts w:ascii="Garamond" w:hAnsi="Garamond" w:cs="Times New Roman"/>
          <w:b/>
          <w:bCs/>
        </w:rPr>
      </w:pPr>
    </w:p>
    <w:p w14:paraId="621CE59D" w14:textId="77777777" w:rsidR="006E2ECD" w:rsidRDefault="006E2ECD" w:rsidP="00DC037F">
      <w:pPr>
        <w:rPr>
          <w:rFonts w:ascii="Garamond" w:hAnsi="Garamond" w:cs="Times New Roman"/>
          <w:b/>
          <w:bCs/>
        </w:rPr>
      </w:pPr>
    </w:p>
    <w:p w14:paraId="189976B4" w14:textId="77777777" w:rsidR="006E2ECD" w:rsidRDefault="006E2ECD" w:rsidP="00DC037F">
      <w:pPr>
        <w:rPr>
          <w:rFonts w:ascii="Garamond" w:hAnsi="Garamond" w:cs="Times New Roman"/>
          <w:b/>
          <w:bCs/>
        </w:rPr>
      </w:pPr>
    </w:p>
    <w:p w14:paraId="02597CB9" w14:textId="77777777" w:rsidR="006E2ECD" w:rsidRDefault="006E2ECD" w:rsidP="00DC037F">
      <w:pPr>
        <w:rPr>
          <w:rFonts w:ascii="Garamond" w:hAnsi="Garamond" w:cs="Times New Roman"/>
          <w:b/>
          <w:bCs/>
        </w:rPr>
      </w:pPr>
    </w:p>
    <w:p w14:paraId="639BBB0B" w14:textId="77777777" w:rsidR="006E2ECD" w:rsidRDefault="006E2ECD" w:rsidP="00DC037F">
      <w:pPr>
        <w:rPr>
          <w:rFonts w:ascii="Garamond" w:hAnsi="Garamond" w:cs="Times New Roman"/>
          <w:b/>
          <w:bCs/>
        </w:rPr>
      </w:pPr>
    </w:p>
    <w:p w14:paraId="4BA82201" w14:textId="77777777" w:rsidR="006E2ECD" w:rsidRDefault="006E2ECD" w:rsidP="00DC037F">
      <w:pPr>
        <w:rPr>
          <w:rFonts w:ascii="Garamond" w:hAnsi="Garamond" w:cs="Times New Roman"/>
          <w:b/>
          <w:bCs/>
        </w:rPr>
      </w:pPr>
    </w:p>
    <w:p w14:paraId="460C4A7B" w14:textId="77777777" w:rsidR="006E2ECD" w:rsidRDefault="006E2ECD" w:rsidP="00DC037F">
      <w:pPr>
        <w:rPr>
          <w:rFonts w:ascii="Garamond" w:hAnsi="Garamond" w:cs="Times New Roman"/>
          <w:b/>
          <w:bCs/>
        </w:rPr>
      </w:pPr>
    </w:p>
    <w:p w14:paraId="62900730" w14:textId="77777777" w:rsidR="006E2ECD" w:rsidRDefault="006E2ECD" w:rsidP="00DC037F">
      <w:pPr>
        <w:rPr>
          <w:rFonts w:ascii="Garamond" w:hAnsi="Garamond" w:cs="Times New Roman"/>
          <w:b/>
          <w:bCs/>
        </w:rPr>
      </w:pPr>
    </w:p>
    <w:p w14:paraId="5C61920A" w14:textId="77777777" w:rsidR="006E2ECD" w:rsidRDefault="006E2ECD" w:rsidP="00DC037F">
      <w:pPr>
        <w:rPr>
          <w:rFonts w:ascii="Garamond" w:hAnsi="Garamond" w:cs="Times New Roman"/>
          <w:b/>
          <w:bCs/>
        </w:rPr>
      </w:pPr>
    </w:p>
    <w:p w14:paraId="14941538" w14:textId="77777777" w:rsidR="006E2ECD" w:rsidRDefault="006E2ECD" w:rsidP="00DC037F">
      <w:pPr>
        <w:rPr>
          <w:rFonts w:ascii="Garamond" w:hAnsi="Garamond" w:cs="Times New Roman"/>
          <w:b/>
          <w:bCs/>
        </w:rPr>
      </w:pPr>
    </w:p>
    <w:p w14:paraId="3D9A18B5" w14:textId="77777777" w:rsidR="006E2ECD" w:rsidRDefault="006E2ECD" w:rsidP="00DC037F">
      <w:pPr>
        <w:rPr>
          <w:rFonts w:ascii="Garamond" w:hAnsi="Garamond" w:cs="Times New Roman"/>
          <w:b/>
          <w:bCs/>
        </w:rPr>
      </w:pPr>
    </w:p>
    <w:p w14:paraId="6FB8D862" w14:textId="77777777" w:rsidR="006E2ECD" w:rsidRDefault="006E2ECD" w:rsidP="00DC037F">
      <w:pPr>
        <w:rPr>
          <w:rFonts w:ascii="Garamond" w:hAnsi="Garamond" w:cs="Times New Roman"/>
          <w:b/>
          <w:bCs/>
        </w:rPr>
      </w:pPr>
    </w:p>
    <w:p w14:paraId="6410A692" w14:textId="77777777" w:rsidR="006E2ECD" w:rsidRDefault="006E2ECD" w:rsidP="00DC037F">
      <w:pPr>
        <w:rPr>
          <w:rFonts w:ascii="Garamond" w:hAnsi="Garamond" w:cs="Times New Roman"/>
          <w:b/>
          <w:bCs/>
        </w:rPr>
      </w:pPr>
    </w:p>
    <w:p w14:paraId="58669F1A" w14:textId="77777777" w:rsidR="006E2ECD" w:rsidRDefault="006E2ECD" w:rsidP="00DC037F">
      <w:pPr>
        <w:rPr>
          <w:rFonts w:ascii="Garamond" w:hAnsi="Garamond" w:cs="Times New Roman"/>
          <w:b/>
          <w:bCs/>
        </w:rPr>
      </w:pPr>
    </w:p>
    <w:p w14:paraId="3AA7EEBE" w14:textId="77777777" w:rsidR="006E2ECD" w:rsidRDefault="006E2ECD" w:rsidP="00DC037F">
      <w:pPr>
        <w:rPr>
          <w:rFonts w:ascii="Garamond" w:hAnsi="Garamond" w:cs="Times New Roman"/>
          <w:b/>
          <w:bCs/>
        </w:rPr>
      </w:pPr>
    </w:p>
    <w:p w14:paraId="34DE641D" w14:textId="77777777" w:rsidR="006E2ECD" w:rsidRDefault="006E2ECD" w:rsidP="00DC037F">
      <w:pPr>
        <w:rPr>
          <w:rFonts w:ascii="Garamond" w:hAnsi="Garamond" w:cs="Times New Roman"/>
          <w:b/>
          <w:bCs/>
        </w:rPr>
      </w:pPr>
    </w:p>
    <w:p w14:paraId="4CB55CDB" w14:textId="77777777" w:rsidR="006E2ECD" w:rsidRDefault="006E2ECD" w:rsidP="00DC037F">
      <w:pPr>
        <w:rPr>
          <w:rFonts w:ascii="Garamond" w:hAnsi="Garamond" w:cs="Times New Roman"/>
          <w:b/>
          <w:bCs/>
        </w:rPr>
      </w:pPr>
    </w:p>
    <w:p w14:paraId="06E7A467" w14:textId="77777777" w:rsidR="006E2ECD" w:rsidRDefault="006E2ECD" w:rsidP="00DC037F">
      <w:pPr>
        <w:rPr>
          <w:rFonts w:ascii="Garamond" w:hAnsi="Garamond" w:cs="Times New Roman"/>
          <w:b/>
          <w:bCs/>
        </w:rPr>
      </w:pPr>
    </w:p>
    <w:p w14:paraId="6B115BC3" w14:textId="77777777" w:rsidR="006E2ECD" w:rsidRDefault="006E2ECD" w:rsidP="00DC037F">
      <w:pPr>
        <w:rPr>
          <w:rFonts w:ascii="Garamond" w:hAnsi="Garamond" w:cs="Times New Roman"/>
          <w:b/>
          <w:bCs/>
        </w:rPr>
      </w:pPr>
    </w:p>
    <w:p w14:paraId="7FD38BF8" w14:textId="77777777" w:rsidR="006E2ECD" w:rsidRDefault="006E2ECD" w:rsidP="00DC037F">
      <w:pPr>
        <w:rPr>
          <w:rFonts w:ascii="Garamond" w:hAnsi="Garamond" w:cs="Times New Roman"/>
          <w:b/>
          <w:bCs/>
        </w:rPr>
      </w:pPr>
    </w:p>
    <w:p w14:paraId="60C74382" w14:textId="13FA2E6B" w:rsidR="005F0FB2" w:rsidRDefault="005F0FB2" w:rsidP="00DC037F">
      <w:pPr>
        <w:rPr>
          <w:rFonts w:ascii="Times New Roman" w:hAnsi="Times New Roman" w:cs="Times New Roman"/>
          <w:b/>
          <w:bCs/>
          <w:color w:val="000000"/>
          <w14:ligatures w14:val="standardContextual"/>
        </w:rPr>
      </w:pPr>
      <w:r>
        <w:rPr>
          <w:rFonts w:ascii="Times New Roman" w:hAnsi="Times New Roman" w:cs="Times New Roman"/>
          <w:b/>
          <w:bCs/>
          <w:color w:val="000000"/>
          <w14:ligatures w14:val="standardContextual"/>
        </w:rPr>
        <w:lastRenderedPageBreak/>
        <w:t>Appendix</w:t>
      </w:r>
    </w:p>
    <w:p w14:paraId="47E47888" w14:textId="77777777" w:rsidR="000D22B4" w:rsidRDefault="000D22B4" w:rsidP="00DC037F">
      <w:pPr>
        <w:rPr>
          <w:rFonts w:ascii="Times New Roman" w:hAnsi="Times New Roman" w:cs="Times New Roman"/>
          <w:b/>
          <w:bCs/>
          <w:color w:val="000000"/>
          <w14:ligatures w14:val="standardContextual"/>
        </w:rPr>
      </w:pPr>
    </w:p>
    <w:p w14:paraId="67E9AFC3" w14:textId="12785F35" w:rsidR="007127E7" w:rsidRPr="00544581" w:rsidRDefault="007127E7" w:rsidP="00DC037F">
      <w:pPr>
        <w:rPr>
          <w:rFonts w:ascii="Garamond" w:hAnsi="Garamond" w:cs="Times New Roman"/>
          <w:b/>
          <w:bCs/>
          <w:color w:val="000000"/>
          <w:sz w:val="20"/>
          <w:szCs w:val="20"/>
          <w14:ligatures w14:val="standardContextual"/>
        </w:rPr>
      </w:pPr>
      <w:r w:rsidRPr="00544581">
        <w:rPr>
          <w:rFonts w:ascii="Garamond" w:hAnsi="Garamond" w:cs="Times New Roman"/>
          <w:b/>
          <w:bCs/>
          <w:color w:val="000000"/>
          <w:sz w:val="20"/>
          <w:szCs w:val="20"/>
          <w14:ligatures w14:val="standardContextual"/>
        </w:rPr>
        <w:t xml:space="preserve">Descriptive </w:t>
      </w:r>
      <w:r w:rsidR="00544581" w:rsidRPr="00544581">
        <w:rPr>
          <w:rFonts w:ascii="Garamond" w:hAnsi="Garamond" w:cs="Times New Roman"/>
          <w:b/>
          <w:bCs/>
          <w:color w:val="000000"/>
          <w:sz w:val="20"/>
          <w:szCs w:val="20"/>
          <w14:ligatures w14:val="standardContextual"/>
        </w:rPr>
        <w:t>Statistics</w:t>
      </w:r>
    </w:p>
    <w:p w14:paraId="0EBE4715" w14:textId="239492B8" w:rsidR="007D2432" w:rsidRDefault="00EF386C" w:rsidP="00DC037F">
      <w:pPr>
        <w:rPr>
          <w:rFonts w:ascii="Garamond" w:hAnsi="Garamond" w:cs="Times New Roman"/>
          <w:b/>
          <w:bCs/>
        </w:rPr>
      </w:pPr>
      <w:r>
        <w:rPr>
          <w:rFonts w:ascii="Garamond" w:hAnsi="Garamond" w:cs="Times New Roman"/>
          <w:b/>
          <w:bCs/>
          <w:noProof/>
          <w14:ligatures w14:val="standardContextual"/>
        </w:rPr>
        <w:drawing>
          <wp:inline distT="0" distB="0" distL="0" distR="0" wp14:anchorId="308A8176" wp14:editId="6DDA7B25">
            <wp:extent cx="3040083" cy="3052750"/>
            <wp:effectExtent l="0" t="0" r="0" b="0"/>
            <wp:docPr id="84341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272" name="Picture 843412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2312" cy="3065030"/>
                    </a:xfrm>
                    <a:prstGeom prst="rect">
                      <a:avLst/>
                    </a:prstGeom>
                  </pic:spPr>
                </pic:pic>
              </a:graphicData>
            </a:graphic>
          </wp:inline>
        </w:drawing>
      </w:r>
      <w:r>
        <w:rPr>
          <w:noProof/>
        </w:rPr>
        <w:drawing>
          <wp:inline distT="0" distB="0" distL="0" distR="0" wp14:anchorId="15CD678D" wp14:editId="1C2F8A95">
            <wp:extent cx="2794183" cy="2755075"/>
            <wp:effectExtent l="0" t="0" r="0" b="1270"/>
            <wp:docPr id="57559451"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451" name="Picture 5" descr="A screenshot of a computer scree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4499" cy="2794826"/>
                    </a:xfrm>
                    <a:prstGeom prst="rect">
                      <a:avLst/>
                    </a:prstGeom>
                    <a:noFill/>
                    <a:ln>
                      <a:noFill/>
                    </a:ln>
                  </pic:spPr>
                </pic:pic>
              </a:graphicData>
            </a:graphic>
          </wp:inline>
        </w:drawing>
      </w:r>
    </w:p>
    <w:p w14:paraId="6235F366" w14:textId="77777777" w:rsidR="00E951C5" w:rsidRDefault="00E951C5" w:rsidP="00DC037F">
      <w:pPr>
        <w:rPr>
          <w:rFonts w:ascii="Garamond" w:hAnsi="Garamond" w:cs="Times New Roman"/>
          <w:b/>
          <w:bCs/>
        </w:rPr>
      </w:pPr>
    </w:p>
    <w:p w14:paraId="6D3E558E" w14:textId="77777777" w:rsidR="00C5697E" w:rsidRDefault="00C5697E" w:rsidP="00DC037F">
      <w:pPr>
        <w:rPr>
          <w:rFonts w:ascii="Garamond" w:hAnsi="Garamond" w:cs="Times New Roman"/>
          <w:b/>
          <w:bCs/>
        </w:rPr>
      </w:pPr>
    </w:p>
    <w:p w14:paraId="42A40183" w14:textId="5BDFD8D9" w:rsidR="00C5697E" w:rsidRDefault="00C5697E" w:rsidP="00DC037F">
      <w:pPr>
        <w:rPr>
          <w:rFonts w:ascii="Garamond" w:hAnsi="Garamond" w:cs="Times New Roman"/>
          <w:b/>
          <w:bCs/>
        </w:rPr>
      </w:pPr>
    </w:p>
    <w:p w14:paraId="624CC44C" w14:textId="418A914C" w:rsidR="00E951C5" w:rsidRDefault="00EF386C" w:rsidP="00DC037F">
      <w:pPr>
        <w:rPr>
          <w:rFonts w:ascii="Garamond" w:hAnsi="Garamond" w:cs="Times New Roman"/>
          <w:b/>
          <w:bCs/>
        </w:rPr>
      </w:pPr>
      <w:r>
        <w:rPr>
          <w:noProof/>
        </w:rPr>
        <w:drawing>
          <wp:inline distT="0" distB="0" distL="0" distR="0" wp14:anchorId="08B368B9" wp14:editId="72B683CF">
            <wp:extent cx="3420094" cy="1805503"/>
            <wp:effectExtent l="0" t="0" r="0" b="0"/>
            <wp:docPr id="1708582518" name="Picture 1" descr="A colorful bars in a corn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2518" name="Picture 1" descr="A colorful bars in a corner&#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409" cy="1870602"/>
                    </a:xfrm>
                    <a:prstGeom prst="rect">
                      <a:avLst/>
                    </a:prstGeom>
                    <a:noFill/>
                    <a:ln>
                      <a:noFill/>
                    </a:ln>
                  </pic:spPr>
                </pic:pic>
              </a:graphicData>
            </a:graphic>
          </wp:inline>
        </w:drawing>
      </w:r>
      <w:r>
        <w:rPr>
          <w:noProof/>
        </w:rPr>
        <w:drawing>
          <wp:inline distT="0" distB="0" distL="0" distR="0" wp14:anchorId="3EB45004" wp14:editId="266E6C71">
            <wp:extent cx="2817618" cy="1816925"/>
            <wp:effectExtent l="0" t="0" r="1905" b="0"/>
            <wp:docPr id="305141978" name="Picture 10" descr="A diagram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41978" name="Picture 10" descr="A diagram of different colored square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9965" cy="1824887"/>
                    </a:xfrm>
                    <a:prstGeom prst="rect">
                      <a:avLst/>
                    </a:prstGeom>
                    <a:noFill/>
                    <a:ln>
                      <a:noFill/>
                    </a:ln>
                  </pic:spPr>
                </pic:pic>
              </a:graphicData>
            </a:graphic>
          </wp:inline>
        </w:drawing>
      </w:r>
      <w:r>
        <w:rPr>
          <w:noProof/>
        </w:rPr>
        <w:drawing>
          <wp:inline distT="0" distB="0" distL="0" distR="0" wp14:anchorId="7BF4F409" wp14:editId="7F42FEE4">
            <wp:extent cx="2992582" cy="1911914"/>
            <wp:effectExtent l="0" t="0" r="5080" b="6350"/>
            <wp:docPr id="804062402" name="Picture 11" descr="A blue and orange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2402" name="Picture 11" descr="A blue and orange rectangular object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8989" cy="1928785"/>
                    </a:xfrm>
                    <a:prstGeom prst="rect">
                      <a:avLst/>
                    </a:prstGeom>
                    <a:noFill/>
                    <a:ln>
                      <a:noFill/>
                    </a:ln>
                  </pic:spPr>
                </pic:pic>
              </a:graphicData>
            </a:graphic>
          </wp:inline>
        </w:drawing>
      </w:r>
    </w:p>
    <w:p w14:paraId="0B530D7C" w14:textId="77777777" w:rsidR="00A43A7F" w:rsidRDefault="00B96BC9" w:rsidP="00DC037F">
      <w:pPr>
        <w:rPr>
          <w:noProof/>
          <w14:ligatures w14:val="standardContextual"/>
        </w:rPr>
      </w:pPr>
      <w:r w:rsidRPr="00D53A57">
        <w:rPr>
          <w:rFonts w:ascii="Garamond" w:hAnsi="Garamond" w:cs="Times New Roman"/>
          <w:b/>
          <w:bCs/>
          <w:noProof/>
        </w:rPr>
        <w:lastRenderedPageBreak/>
        <w:drawing>
          <wp:inline distT="0" distB="0" distL="0" distR="0" wp14:anchorId="534F46E5" wp14:editId="235F91C4">
            <wp:extent cx="2933205" cy="2635418"/>
            <wp:effectExtent l="0" t="0" r="635" b="6350"/>
            <wp:docPr id="45564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6165" name=""/>
                    <pic:cNvPicPr/>
                  </pic:nvPicPr>
                  <pic:blipFill>
                    <a:blip r:embed="rId12"/>
                    <a:stretch>
                      <a:fillRect/>
                    </a:stretch>
                  </pic:blipFill>
                  <pic:spPr>
                    <a:xfrm>
                      <a:off x="0" y="0"/>
                      <a:ext cx="2991279" cy="2687596"/>
                    </a:xfrm>
                    <a:prstGeom prst="rect">
                      <a:avLst/>
                    </a:prstGeom>
                  </pic:spPr>
                </pic:pic>
              </a:graphicData>
            </a:graphic>
          </wp:inline>
        </w:drawing>
      </w:r>
    </w:p>
    <w:p w14:paraId="154AC9B7" w14:textId="77777777" w:rsidR="00A43A7F" w:rsidRDefault="00A43A7F" w:rsidP="00DC037F">
      <w:pPr>
        <w:rPr>
          <w:noProof/>
          <w14:ligatures w14:val="standardContextual"/>
        </w:rPr>
      </w:pPr>
    </w:p>
    <w:p w14:paraId="3D512E21" w14:textId="6E637071" w:rsidR="00A43A7F" w:rsidRPr="0067633B" w:rsidRDefault="00A43A7F" w:rsidP="00DC037F">
      <w:pPr>
        <w:rPr>
          <w:rFonts w:ascii="Garamond" w:hAnsi="Garamond"/>
          <w:b/>
          <w:bCs/>
          <w:noProof/>
          <w14:ligatures w14:val="standardContextual"/>
        </w:rPr>
      </w:pPr>
      <w:r w:rsidRPr="0067633B">
        <w:rPr>
          <w:rFonts w:ascii="Garamond" w:hAnsi="Garamond"/>
          <w:b/>
          <w:bCs/>
          <w:noProof/>
          <w14:ligatures w14:val="standardContextual"/>
        </w:rPr>
        <w:t>Random Forest Classifier</w:t>
      </w:r>
    </w:p>
    <w:p w14:paraId="0A2B09B2" w14:textId="77777777" w:rsidR="00A43A7F" w:rsidRPr="00A43A7F" w:rsidRDefault="00A43A7F" w:rsidP="00DC037F">
      <w:pPr>
        <w:rPr>
          <w:rFonts w:ascii="Garamond" w:hAnsi="Garamond"/>
          <w:noProof/>
          <w14:ligatures w14:val="standardContextual"/>
        </w:rPr>
      </w:pPr>
    </w:p>
    <w:p w14:paraId="4002F75F" w14:textId="68BF3B4E" w:rsidR="00032DDE" w:rsidRDefault="00A43A7F" w:rsidP="00DC037F">
      <w:pPr>
        <w:rPr>
          <w:noProof/>
          <w14:ligatures w14:val="standardContextual"/>
        </w:rPr>
      </w:pPr>
      <w:r>
        <w:rPr>
          <w:noProof/>
          <w14:ligatures w14:val="standardContextual"/>
        </w:rPr>
        <w:drawing>
          <wp:inline distT="0" distB="0" distL="0" distR="0" wp14:anchorId="2E9C3A7F" wp14:editId="5DC8FD49">
            <wp:extent cx="4533900" cy="2362200"/>
            <wp:effectExtent l="0" t="0" r="0" b="0"/>
            <wp:docPr id="22409078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90788" name="Picture 1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533900" cy="2362200"/>
                    </a:xfrm>
                    <a:prstGeom prst="rect">
                      <a:avLst/>
                    </a:prstGeom>
                  </pic:spPr>
                </pic:pic>
              </a:graphicData>
            </a:graphic>
          </wp:inline>
        </w:drawing>
      </w:r>
    </w:p>
    <w:p w14:paraId="74D18525" w14:textId="77777777" w:rsidR="00B459D8" w:rsidRPr="00B459D8" w:rsidRDefault="00B459D8" w:rsidP="00DC037F">
      <w:pPr>
        <w:rPr>
          <w:rFonts w:ascii="Garamond" w:hAnsi="Garamond" w:cs="Times New Roman"/>
        </w:rPr>
      </w:pPr>
    </w:p>
    <w:sectPr w:rsidR="00B459D8" w:rsidRPr="00B459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741C14" w14:textId="77777777" w:rsidR="00A00C96" w:rsidRDefault="00A00C96" w:rsidP="00482451">
      <w:r>
        <w:separator/>
      </w:r>
    </w:p>
  </w:endnote>
  <w:endnote w:type="continuationSeparator" w:id="0">
    <w:p w14:paraId="6B84E472" w14:textId="77777777" w:rsidR="00A00C96" w:rsidRDefault="00A00C96" w:rsidP="0048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74E70" w14:textId="77777777" w:rsidR="00A00C96" w:rsidRDefault="00A00C96" w:rsidP="00482451">
      <w:r>
        <w:separator/>
      </w:r>
    </w:p>
  </w:footnote>
  <w:footnote w:type="continuationSeparator" w:id="0">
    <w:p w14:paraId="355FDD45" w14:textId="77777777" w:rsidR="00A00C96" w:rsidRDefault="00A00C96" w:rsidP="00482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1806FE"/>
    <w:multiLevelType w:val="multilevel"/>
    <w:tmpl w:val="FDC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4451F"/>
    <w:multiLevelType w:val="multilevel"/>
    <w:tmpl w:val="EECC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E7C19"/>
    <w:multiLevelType w:val="multilevel"/>
    <w:tmpl w:val="58B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556360">
    <w:abstractNumId w:val="0"/>
  </w:num>
  <w:num w:numId="2" w16cid:durableId="908006486">
    <w:abstractNumId w:val="2"/>
  </w:num>
  <w:num w:numId="3" w16cid:durableId="1442185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75C"/>
    <w:rsid w:val="000010C2"/>
    <w:rsid w:val="00032DDE"/>
    <w:rsid w:val="0004275C"/>
    <w:rsid w:val="00043873"/>
    <w:rsid w:val="000D22B4"/>
    <w:rsid w:val="0013538B"/>
    <w:rsid w:val="00164401"/>
    <w:rsid w:val="0018204A"/>
    <w:rsid w:val="00194E8E"/>
    <w:rsid w:val="001A4CC6"/>
    <w:rsid w:val="001D2FA0"/>
    <w:rsid w:val="001E3DDA"/>
    <w:rsid w:val="00203CEB"/>
    <w:rsid w:val="00240C8B"/>
    <w:rsid w:val="00285C8B"/>
    <w:rsid w:val="002A5CC0"/>
    <w:rsid w:val="002C513F"/>
    <w:rsid w:val="002D53E1"/>
    <w:rsid w:val="002E0DB8"/>
    <w:rsid w:val="002E235E"/>
    <w:rsid w:val="00300BEE"/>
    <w:rsid w:val="00377600"/>
    <w:rsid w:val="003B2750"/>
    <w:rsid w:val="003C3E79"/>
    <w:rsid w:val="003D573A"/>
    <w:rsid w:val="00432A69"/>
    <w:rsid w:val="00462372"/>
    <w:rsid w:val="00482451"/>
    <w:rsid w:val="00493CF0"/>
    <w:rsid w:val="004B0F56"/>
    <w:rsid w:val="004D23E5"/>
    <w:rsid w:val="004E1E5B"/>
    <w:rsid w:val="00507D6A"/>
    <w:rsid w:val="00523215"/>
    <w:rsid w:val="00544581"/>
    <w:rsid w:val="00552B05"/>
    <w:rsid w:val="00595162"/>
    <w:rsid w:val="0059542A"/>
    <w:rsid w:val="005C18BC"/>
    <w:rsid w:val="005C33B6"/>
    <w:rsid w:val="005F0FB2"/>
    <w:rsid w:val="006579EA"/>
    <w:rsid w:val="0067633B"/>
    <w:rsid w:val="006833AE"/>
    <w:rsid w:val="006B55C5"/>
    <w:rsid w:val="006E2ECD"/>
    <w:rsid w:val="006E48BF"/>
    <w:rsid w:val="006F2E82"/>
    <w:rsid w:val="007017D8"/>
    <w:rsid w:val="007127E7"/>
    <w:rsid w:val="0072204C"/>
    <w:rsid w:val="007947DC"/>
    <w:rsid w:val="00794EF2"/>
    <w:rsid w:val="007A2BA6"/>
    <w:rsid w:val="007D2432"/>
    <w:rsid w:val="007E7ABA"/>
    <w:rsid w:val="00835907"/>
    <w:rsid w:val="0086522F"/>
    <w:rsid w:val="00865401"/>
    <w:rsid w:val="00867D20"/>
    <w:rsid w:val="008845DE"/>
    <w:rsid w:val="008D2ECE"/>
    <w:rsid w:val="009C0883"/>
    <w:rsid w:val="009E0813"/>
    <w:rsid w:val="009E5B76"/>
    <w:rsid w:val="009F54BE"/>
    <w:rsid w:val="00A00C96"/>
    <w:rsid w:val="00A357C2"/>
    <w:rsid w:val="00A43A7F"/>
    <w:rsid w:val="00A62FCC"/>
    <w:rsid w:val="00A65D83"/>
    <w:rsid w:val="00A7700A"/>
    <w:rsid w:val="00AE48B4"/>
    <w:rsid w:val="00AE6914"/>
    <w:rsid w:val="00B03412"/>
    <w:rsid w:val="00B0521E"/>
    <w:rsid w:val="00B16704"/>
    <w:rsid w:val="00B23D6A"/>
    <w:rsid w:val="00B3100D"/>
    <w:rsid w:val="00B459D8"/>
    <w:rsid w:val="00B96BC9"/>
    <w:rsid w:val="00BA761B"/>
    <w:rsid w:val="00C21C77"/>
    <w:rsid w:val="00C371DE"/>
    <w:rsid w:val="00C5697E"/>
    <w:rsid w:val="00C56FE3"/>
    <w:rsid w:val="00CA229B"/>
    <w:rsid w:val="00CC2A33"/>
    <w:rsid w:val="00CE4686"/>
    <w:rsid w:val="00CF465F"/>
    <w:rsid w:val="00CF6FC1"/>
    <w:rsid w:val="00D210C4"/>
    <w:rsid w:val="00D53A57"/>
    <w:rsid w:val="00D71769"/>
    <w:rsid w:val="00D868B9"/>
    <w:rsid w:val="00D939BC"/>
    <w:rsid w:val="00D93FF4"/>
    <w:rsid w:val="00DB64B8"/>
    <w:rsid w:val="00DC037F"/>
    <w:rsid w:val="00DD4867"/>
    <w:rsid w:val="00E55CE4"/>
    <w:rsid w:val="00E5686E"/>
    <w:rsid w:val="00E63943"/>
    <w:rsid w:val="00E67319"/>
    <w:rsid w:val="00E951C5"/>
    <w:rsid w:val="00EA275C"/>
    <w:rsid w:val="00EA525F"/>
    <w:rsid w:val="00ED1DC7"/>
    <w:rsid w:val="00EF386C"/>
    <w:rsid w:val="00F2547F"/>
    <w:rsid w:val="00F3209B"/>
    <w:rsid w:val="00F320ED"/>
    <w:rsid w:val="00F44CBE"/>
    <w:rsid w:val="00F75E77"/>
    <w:rsid w:val="00FA1DA8"/>
    <w:rsid w:val="00FB551D"/>
    <w:rsid w:val="00FF6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0A877B"/>
  <w15:chartTrackingRefBased/>
  <w15:docId w15:val="{64DEBD96-D6F8-BC4A-BB9B-F9784311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75C"/>
    <w:pPr>
      <w:spacing w:after="0" w:line="240" w:lineRule="auto"/>
    </w:pPr>
    <w:rPr>
      <w:kern w:val="0"/>
      <w14:ligatures w14:val="none"/>
    </w:rPr>
  </w:style>
  <w:style w:type="paragraph" w:styleId="Heading1">
    <w:name w:val="heading 1"/>
    <w:basedOn w:val="Normal"/>
    <w:next w:val="Normal"/>
    <w:link w:val="Heading1Char"/>
    <w:uiPriority w:val="9"/>
    <w:qFormat/>
    <w:rsid w:val="0004275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275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4275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4275C"/>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4275C"/>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275C"/>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275C"/>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275C"/>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275C"/>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75C"/>
    <w:rPr>
      <w:rFonts w:eastAsiaTheme="majorEastAsia" w:cstheme="majorBidi"/>
      <w:color w:val="272727" w:themeColor="text1" w:themeTint="D8"/>
    </w:rPr>
  </w:style>
  <w:style w:type="paragraph" w:styleId="Title">
    <w:name w:val="Title"/>
    <w:basedOn w:val="Normal"/>
    <w:next w:val="Normal"/>
    <w:link w:val="TitleChar"/>
    <w:uiPriority w:val="10"/>
    <w:qFormat/>
    <w:rsid w:val="000427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2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75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2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75C"/>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4275C"/>
    <w:rPr>
      <w:i/>
      <w:iCs/>
      <w:color w:val="404040" w:themeColor="text1" w:themeTint="BF"/>
    </w:rPr>
  </w:style>
  <w:style w:type="paragraph" w:styleId="ListParagraph">
    <w:name w:val="List Paragraph"/>
    <w:basedOn w:val="Normal"/>
    <w:uiPriority w:val="34"/>
    <w:qFormat/>
    <w:rsid w:val="0004275C"/>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04275C"/>
    <w:rPr>
      <w:i/>
      <w:iCs/>
      <w:color w:val="0F4761" w:themeColor="accent1" w:themeShade="BF"/>
    </w:rPr>
  </w:style>
  <w:style w:type="paragraph" w:styleId="IntenseQuote">
    <w:name w:val="Intense Quote"/>
    <w:basedOn w:val="Normal"/>
    <w:next w:val="Normal"/>
    <w:link w:val="IntenseQuoteChar"/>
    <w:uiPriority w:val="30"/>
    <w:qFormat/>
    <w:rsid w:val="0004275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4275C"/>
    <w:rPr>
      <w:i/>
      <w:iCs/>
      <w:color w:val="0F4761" w:themeColor="accent1" w:themeShade="BF"/>
    </w:rPr>
  </w:style>
  <w:style w:type="character" w:styleId="IntenseReference">
    <w:name w:val="Intense Reference"/>
    <w:basedOn w:val="DefaultParagraphFont"/>
    <w:uiPriority w:val="32"/>
    <w:qFormat/>
    <w:rsid w:val="0004275C"/>
    <w:rPr>
      <w:b/>
      <w:bCs/>
      <w:smallCaps/>
      <w:color w:val="0F4761" w:themeColor="accent1" w:themeShade="BF"/>
      <w:spacing w:val="5"/>
    </w:rPr>
  </w:style>
  <w:style w:type="character" w:styleId="Hyperlink">
    <w:name w:val="Hyperlink"/>
    <w:basedOn w:val="DefaultParagraphFont"/>
    <w:uiPriority w:val="99"/>
    <w:unhideWhenUsed/>
    <w:rsid w:val="0004275C"/>
    <w:rPr>
      <w:color w:val="467886" w:themeColor="hyperlink"/>
      <w:u w:val="single"/>
    </w:rPr>
  </w:style>
  <w:style w:type="character" w:styleId="FollowedHyperlink">
    <w:name w:val="FollowedHyperlink"/>
    <w:basedOn w:val="DefaultParagraphFont"/>
    <w:uiPriority w:val="99"/>
    <w:semiHidden/>
    <w:unhideWhenUsed/>
    <w:rsid w:val="000010C2"/>
    <w:rPr>
      <w:color w:val="96607D" w:themeColor="followedHyperlink"/>
      <w:u w:val="single"/>
    </w:rPr>
  </w:style>
  <w:style w:type="character" w:styleId="UnresolvedMention">
    <w:name w:val="Unresolved Mention"/>
    <w:basedOn w:val="DefaultParagraphFont"/>
    <w:uiPriority w:val="99"/>
    <w:semiHidden/>
    <w:unhideWhenUsed/>
    <w:rsid w:val="00BA761B"/>
    <w:rPr>
      <w:color w:val="605E5C"/>
      <w:shd w:val="clear" w:color="auto" w:fill="E1DFDD"/>
    </w:rPr>
  </w:style>
  <w:style w:type="character" w:customStyle="1" w:styleId="apple-converted-space">
    <w:name w:val="apple-converted-space"/>
    <w:basedOn w:val="DefaultParagraphFont"/>
    <w:rsid w:val="00B459D8"/>
  </w:style>
  <w:style w:type="character" w:styleId="Strong">
    <w:name w:val="Strong"/>
    <w:basedOn w:val="DefaultParagraphFont"/>
    <w:uiPriority w:val="22"/>
    <w:qFormat/>
    <w:rsid w:val="00B459D8"/>
    <w:rPr>
      <w:b/>
      <w:bCs/>
    </w:rPr>
  </w:style>
  <w:style w:type="paragraph" w:styleId="NormalWeb">
    <w:name w:val="Normal (Web)"/>
    <w:basedOn w:val="Normal"/>
    <w:uiPriority w:val="99"/>
    <w:unhideWhenUsed/>
    <w:rsid w:val="00AE48B4"/>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F46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5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5401"/>
    <w:rPr>
      <w:rFonts w:ascii="Courier New" w:eastAsia="Times New Roman" w:hAnsi="Courier New" w:cs="Courier New"/>
      <w:kern w:val="0"/>
      <w:sz w:val="20"/>
      <w:szCs w:val="20"/>
      <w14:ligatures w14:val="none"/>
    </w:rPr>
  </w:style>
  <w:style w:type="paragraph" w:styleId="NoSpacing">
    <w:name w:val="No Spacing"/>
    <w:uiPriority w:val="1"/>
    <w:qFormat/>
    <w:rsid w:val="007127E7"/>
    <w:pPr>
      <w:spacing w:after="0" w:line="240" w:lineRule="auto"/>
    </w:pPr>
    <w:rPr>
      <w:kern w:val="0"/>
      <w14:ligatures w14:val="none"/>
    </w:rPr>
  </w:style>
  <w:style w:type="paragraph" w:styleId="Header">
    <w:name w:val="header"/>
    <w:basedOn w:val="Normal"/>
    <w:link w:val="HeaderChar"/>
    <w:uiPriority w:val="99"/>
    <w:unhideWhenUsed/>
    <w:rsid w:val="00482451"/>
    <w:pPr>
      <w:tabs>
        <w:tab w:val="center" w:pos="4680"/>
        <w:tab w:val="right" w:pos="9360"/>
      </w:tabs>
    </w:pPr>
  </w:style>
  <w:style w:type="character" w:customStyle="1" w:styleId="HeaderChar">
    <w:name w:val="Header Char"/>
    <w:basedOn w:val="DefaultParagraphFont"/>
    <w:link w:val="Header"/>
    <w:uiPriority w:val="99"/>
    <w:rsid w:val="00482451"/>
    <w:rPr>
      <w:kern w:val="0"/>
      <w14:ligatures w14:val="none"/>
    </w:rPr>
  </w:style>
  <w:style w:type="paragraph" w:styleId="Footer">
    <w:name w:val="footer"/>
    <w:basedOn w:val="Normal"/>
    <w:link w:val="FooterChar"/>
    <w:uiPriority w:val="99"/>
    <w:unhideWhenUsed/>
    <w:rsid w:val="00482451"/>
    <w:pPr>
      <w:tabs>
        <w:tab w:val="center" w:pos="4680"/>
        <w:tab w:val="right" w:pos="9360"/>
      </w:tabs>
    </w:pPr>
  </w:style>
  <w:style w:type="character" w:customStyle="1" w:styleId="FooterChar">
    <w:name w:val="Footer Char"/>
    <w:basedOn w:val="DefaultParagraphFont"/>
    <w:link w:val="Footer"/>
    <w:uiPriority w:val="99"/>
    <w:rsid w:val="0048245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453733">
      <w:bodyDiv w:val="1"/>
      <w:marLeft w:val="0"/>
      <w:marRight w:val="0"/>
      <w:marTop w:val="0"/>
      <w:marBottom w:val="0"/>
      <w:divBdr>
        <w:top w:val="none" w:sz="0" w:space="0" w:color="auto"/>
        <w:left w:val="none" w:sz="0" w:space="0" w:color="auto"/>
        <w:bottom w:val="none" w:sz="0" w:space="0" w:color="auto"/>
        <w:right w:val="none" w:sz="0" w:space="0" w:color="auto"/>
      </w:divBdr>
      <w:divsChild>
        <w:div w:id="655039430">
          <w:marLeft w:val="0"/>
          <w:marRight w:val="0"/>
          <w:marTop w:val="0"/>
          <w:marBottom w:val="0"/>
          <w:divBdr>
            <w:top w:val="none" w:sz="0" w:space="0" w:color="auto"/>
            <w:left w:val="none" w:sz="0" w:space="0" w:color="auto"/>
            <w:bottom w:val="none" w:sz="0" w:space="0" w:color="auto"/>
            <w:right w:val="none" w:sz="0" w:space="0" w:color="auto"/>
          </w:divBdr>
          <w:divsChild>
            <w:div w:id="663971301">
              <w:marLeft w:val="0"/>
              <w:marRight w:val="0"/>
              <w:marTop w:val="0"/>
              <w:marBottom w:val="0"/>
              <w:divBdr>
                <w:top w:val="none" w:sz="0" w:space="0" w:color="auto"/>
                <w:left w:val="none" w:sz="0" w:space="0" w:color="auto"/>
                <w:bottom w:val="none" w:sz="0" w:space="0" w:color="auto"/>
                <w:right w:val="none" w:sz="0" w:space="0" w:color="auto"/>
              </w:divBdr>
              <w:divsChild>
                <w:div w:id="1979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032531">
      <w:bodyDiv w:val="1"/>
      <w:marLeft w:val="0"/>
      <w:marRight w:val="0"/>
      <w:marTop w:val="0"/>
      <w:marBottom w:val="0"/>
      <w:divBdr>
        <w:top w:val="none" w:sz="0" w:space="0" w:color="auto"/>
        <w:left w:val="none" w:sz="0" w:space="0" w:color="auto"/>
        <w:bottom w:val="none" w:sz="0" w:space="0" w:color="auto"/>
        <w:right w:val="none" w:sz="0" w:space="0" w:color="auto"/>
      </w:divBdr>
    </w:div>
    <w:div w:id="398481249">
      <w:bodyDiv w:val="1"/>
      <w:marLeft w:val="0"/>
      <w:marRight w:val="0"/>
      <w:marTop w:val="0"/>
      <w:marBottom w:val="0"/>
      <w:divBdr>
        <w:top w:val="none" w:sz="0" w:space="0" w:color="auto"/>
        <w:left w:val="none" w:sz="0" w:space="0" w:color="auto"/>
        <w:bottom w:val="none" w:sz="0" w:space="0" w:color="auto"/>
        <w:right w:val="none" w:sz="0" w:space="0" w:color="auto"/>
      </w:divBdr>
    </w:div>
    <w:div w:id="432937998">
      <w:bodyDiv w:val="1"/>
      <w:marLeft w:val="0"/>
      <w:marRight w:val="0"/>
      <w:marTop w:val="0"/>
      <w:marBottom w:val="0"/>
      <w:divBdr>
        <w:top w:val="none" w:sz="0" w:space="0" w:color="auto"/>
        <w:left w:val="none" w:sz="0" w:space="0" w:color="auto"/>
        <w:bottom w:val="none" w:sz="0" w:space="0" w:color="auto"/>
        <w:right w:val="none" w:sz="0" w:space="0" w:color="auto"/>
      </w:divBdr>
    </w:div>
    <w:div w:id="435096612">
      <w:bodyDiv w:val="1"/>
      <w:marLeft w:val="0"/>
      <w:marRight w:val="0"/>
      <w:marTop w:val="0"/>
      <w:marBottom w:val="0"/>
      <w:divBdr>
        <w:top w:val="none" w:sz="0" w:space="0" w:color="auto"/>
        <w:left w:val="none" w:sz="0" w:space="0" w:color="auto"/>
        <w:bottom w:val="none" w:sz="0" w:space="0" w:color="auto"/>
        <w:right w:val="none" w:sz="0" w:space="0" w:color="auto"/>
      </w:divBdr>
      <w:divsChild>
        <w:div w:id="619728318">
          <w:marLeft w:val="0"/>
          <w:marRight w:val="0"/>
          <w:marTop w:val="0"/>
          <w:marBottom w:val="0"/>
          <w:divBdr>
            <w:top w:val="none" w:sz="0" w:space="0" w:color="auto"/>
            <w:left w:val="none" w:sz="0" w:space="0" w:color="auto"/>
            <w:bottom w:val="none" w:sz="0" w:space="0" w:color="auto"/>
            <w:right w:val="none" w:sz="0" w:space="0" w:color="auto"/>
          </w:divBdr>
          <w:divsChild>
            <w:div w:id="1771007812">
              <w:marLeft w:val="0"/>
              <w:marRight w:val="0"/>
              <w:marTop w:val="0"/>
              <w:marBottom w:val="0"/>
              <w:divBdr>
                <w:top w:val="none" w:sz="0" w:space="0" w:color="auto"/>
                <w:left w:val="none" w:sz="0" w:space="0" w:color="auto"/>
                <w:bottom w:val="none" w:sz="0" w:space="0" w:color="auto"/>
                <w:right w:val="none" w:sz="0" w:space="0" w:color="auto"/>
              </w:divBdr>
              <w:divsChild>
                <w:div w:id="14664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43372">
      <w:bodyDiv w:val="1"/>
      <w:marLeft w:val="0"/>
      <w:marRight w:val="0"/>
      <w:marTop w:val="0"/>
      <w:marBottom w:val="0"/>
      <w:divBdr>
        <w:top w:val="none" w:sz="0" w:space="0" w:color="auto"/>
        <w:left w:val="none" w:sz="0" w:space="0" w:color="auto"/>
        <w:bottom w:val="none" w:sz="0" w:space="0" w:color="auto"/>
        <w:right w:val="none" w:sz="0" w:space="0" w:color="auto"/>
      </w:divBdr>
    </w:div>
    <w:div w:id="537661703">
      <w:bodyDiv w:val="1"/>
      <w:marLeft w:val="0"/>
      <w:marRight w:val="0"/>
      <w:marTop w:val="0"/>
      <w:marBottom w:val="0"/>
      <w:divBdr>
        <w:top w:val="none" w:sz="0" w:space="0" w:color="auto"/>
        <w:left w:val="none" w:sz="0" w:space="0" w:color="auto"/>
        <w:bottom w:val="none" w:sz="0" w:space="0" w:color="auto"/>
        <w:right w:val="none" w:sz="0" w:space="0" w:color="auto"/>
      </w:divBdr>
    </w:div>
    <w:div w:id="758405074">
      <w:bodyDiv w:val="1"/>
      <w:marLeft w:val="0"/>
      <w:marRight w:val="0"/>
      <w:marTop w:val="0"/>
      <w:marBottom w:val="0"/>
      <w:divBdr>
        <w:top w:val="none" w:sz="0" w:space="0" w:color="auto"/>
        <w:left w:val="none" w:sz="0" w:space="0" w:color="auto"/>
        <w:bottom w:val="none" w:sz="0" w:space="0" w:color="auto"/>
        <w:right w:val="none" w:sz="0" w:space="0" w:color="auto"/>
      </w:divBdr>
    </w:div>
    <w:div w:id="763578250">
      <w:bodyDiv w:val="1"/>
      <w:marLeft w:val="0"/>
      <w:marRight w:val="0"/>
      <w:marTop w:val="0"/>
      <w:marBottom w:val="0"/>
      <w:divBdr>
        <w:top w:val="none" w:sz="0" w:space="0" w:color="auto"/>
        <w:left w:val="none" w:sz="0" w:space="0" w:color="auto"/>
        <w:bottom w:val="none" w:sz="0" w:space="0" w:color="auto"/>
        <w:right w:val="none" w:sz="0" w:space="0" w:color="auto"/>
      </w:divBdr>
    </w:div>
    <w:div w:id="881357112">
      <w:bodyDiv w:val="1"/>
      <w:marLeft w:val="0"/>
      <w:marRight w:val="0"/>
      <w:marTop w:val="0"/>
      <w:marBottom w:val="0"/>
      <w:divBdr>
        <w:top w:val="none" w:sz="0" w:space="0" w:color="auto"/>
        <w:left w:val="none" w:sz="0" w:space="0" w:color="auto"/>
        <w:bottom w:val="none" w:sz="0" w:space="0" w:color="auto"/>
        <w:right w:val="none" w:sz="0" w:space="0" w:color="auto"/>
      </w:divBdr>
    </w:div>
    <w:div w:id="986513578">
      <w:bodyDiv w:val="1"/>
      <w:marLeft w:val="0"/>
      <w:marRight w:val="0"/>
      <w:marTop w:val="0"/>
      <w:marBottom w:val="0"/>
      <w:divBdr>
        <w:top w:val="none" w:sz="0" w:space="0" w:color="auto"/>
        <w:left w:val="none" w:sz="0" w:space="0" w:color="auto"/>
        <w:bottom w:val="none" w:sz="0" w:space="0" w:color="auto"/>
        <w:right w:val="none" w:sz="0" w:space="0" w:color="auto"/>
      </w:divBdr>
      <w:divsChild>
        <w:div w:id="2036072916">
          <w:marLeft w:val="0"/>
          <w:marRight w:val="0"/>
          <w:marTop w:val="0"/>
          <w:marBottom w:val="0"/>
          <w:divBdr>
            <w:top w:val="none" w:sz="0" w:space="0" w:color="auto"/>
            <w:left w:val="none" w:sz="0" w:space="0" w:color="auto"/>
            <w:bottom w:val="none" w:sz="0" w:space="0" w:color="auto"/>
            <w:right w:val="none" w:sz="0" w:space="0" w:color="auto"/>
          </w:divBdr>
          <w:divsChild>
            <w:div w:id="1414428350">
              <w:marLeft w:val="0"/>
              <w:marRight w:val="0"/>
              <w:marTop w:val="0"/>
              <w:marBottom w:val="0"/>
              <w:divBdr>
                <w:top w:val="none" w:sz="0" w:space="0" w:color="auto"/>
                <w:left w:val="none" w:sz="0" w:space="0" w:color="auto"/>
                <w:bottom w:val="none" w:sz="0" w:space="0" w:color="auto"/>
                <w:right w:val="none" w:sz="0" w:space="0" w:color="auto"/>
              </w:divBdr>
              <w:divsChild>
                <w:div w:id="1814757525">
                  <w:marLeft w:val="0"/>
                  <w:marRight w:val="0"/>
                  <w:marTop w:val="0"/>
                  <w:marBottom w:val="0"/>
                  <w:divBdr>
                    <w:top w:val="none" w:sz="0" w:space="0" w:color="auto"/>
                    <w:left w:val="none" w:sz="0" w:space="0" w:color="auto"/>
                    <w:bottom w:val="none" w:sz="0" w:space="0" w:color="auto"/>
                    <w:right w:val="none" w:sz="0" w:space="0" w:color="auto"/>
                  </w:divBdr>
                  <w:divsChild>
                    <w:div w:id="1368262249">
                      <w:marLeft w:val="0"/>
                      <w:marRight w:val="0"/>
                      <w:marTop w:val="0"/>
                      <w:marBottom w:val="0"/>
                      <w:divBdr>
                        <w:top w:val="none" w:sz="0" w:space="0" w:color="auto"/>
                        <w:left w:val="none" w:sz="0" w:space="0" w:color="auto"/>
                        <w:bottom w:val="none" w:sz="0" w:space="0" w:color="auto"/>
                        <w:right w:val="none" w:sz="0" w:space="0" w:color="auto"/>
                      </w:divBdr>
                      <w:divsChild>
                        <w:div w:id="1202283195">
                          <w:marLeft w:val="0"/>
                          <w:marRight w:val="0"/>
                          <w:marTop w:val="0"/>
                          <w:marBottom w:val="0"/>
                          <w:divBdr>
                            <w:top w:val="none" w:sz="0" w:space="0" w:color="auto"/>
                            <w:left w:val="none" w:sz="0" w:space="0" w:color="auto"/>
                            <w:bottom w:val="none" w:sz="0" w:space="0" w:color="auto"/>
                            <w:right w:val="none" w:sz="0" w:space="0" w:color="auto"/>
                          </w:divBdr>
                          <w:divsChild>
                            <w:div w:id="854267771">
                              <w:marLeft w:val="0"/>
                              <w:marRight w:val="0"/>
                              <w:marTop w:val="0"/>
                              <w:marBottom w:val="0"/>
                              <w:divBdr>
                                <w:top w:val="none" w:sz="0" w:space="0" w:color="auto"/>
                                <w:left w:val="none" w:sz="0" w:space="0" w:color="auto"/>
                                <w:bottom w:val="none" w:sz="0" w:space="0" w:color="auto"/>
                                <w:right w:val="none" w:sz="0" w:space="0" w:color="auto"/>
                              </w:divBdr>
                              <w:divsChild>
                                <w:div w:id="2025086120">
                                  <w:marLeft w:val="0"/>
                                  <w:marRight w:val="0"/>
                                  <w:marTop w:val="0"/>
                                  <w:marBottom w:val="0"/>
                                  <w:divBdr>
                                    <w:top w:val="none" w:sz="0" w:space="0" w:color="auto"/>
                                    <w:left w:val="none" w:sz="0" w:space="0" w:color="auto"/>
                                    <w:bottom w:val="none" w:sz="0" w:space="0" w:color="auto"/>
                                    <w:right w:val="none" w:sz="0" w:space="0" w:color="auto"/>
                                  </w:divBdr>
                                  <w:divsChild>
                                    <w:div w:id="1794011888">
                                      <w:marLeft w:val="0"/>
                                      <w:marRight w:val="0"/>
                                      <w:marTop w:val="0"/>
                                      <w:marBottom w:val="0"/>
                                      <w:divBdr>
                                        <w:top w:val="none" w:sz="0" w:space="0" w:color="auto"/>
                                        <w:left w:val="none" w:sz="0" w:space="0" w:color="auto"/>
                                        <w:bottom w:val="none" w:sz="0" w:space="0" w:color="auto"/>
                                        <w:right w:val="none" w:sz="0" w:space="0" w:color="auto"/>
                                      </w:divBdr>
                                      <w:divsChild>
                                        <w:div w:id="1884905445">
                                          <w:marLeft w:val="0"/>
                                          <w:marRight w:val="0"/>
                                          <w:marTop w:val="0"/>
                                          <w:marBottom w:val="0"/>
                                          <w:divBdr>
                                            <w:top w:val="none" w:sz="0" w:space="0" w:color="auto"/>
                                            <w:left w:val="none" w:sz="0" w:space="0" w:color="auto"/>
                                            <w:bottom w:val="none" w:sz="0" w:space="0" w:color="auto"/>
                                            <w:right w:val="none" w:sz="0" w:space="0" w:color="auto"/>
                                          </w:divBdr>
                                          <w:divsChild>
                                            <w:div w:id="1466236937">
                                              <w:marLeft w:val="0"/>
                                              <w:marRight w:val="0"/>
                                              <w:marTop w:val="0"/>
                                              <w:marBottom w:val="0"/>
                                              <w:divBdr>
                                                <w:top w:val="none" w:sz="0" w:space="0" w:color="auto"/>
                                                <w:left w:val="none" w:sz="0" w:space="0" w:color="auto"/>
                                                <w:bottom w:val="none" w:sz="0" w:space="0" w:color="auto"/>
                                                <w:right w:val="none" w:sz="0" w:space="0" w:color="auto"/>
                                              </w:divBdr>
                                              <w:divsChild>
                                                <w:div w:id="637883483">
                                                  <w:marLeft w:val="0"/>
                                                  <w:marRight w:val="0"/>
                                                  <w:marTop w:val="0"/>
                                                  <w:marBottom w:val="0"/>
                                                  <w:divBdr>
                                                    <w:top w:val="none" w:sz="0" w:space="0" w:color="auto"/>
                                                    <w:left w:val="none" w:sz="0" w:space="0" w:color="auto"/>
                                                    <w:bottom w:val="none" w:sz="0" w:space="0" w:color="auto"/>
                                                    <w:right w:val="none" w:sz="0" w:space="0" w:color="auto"/>
                                                  </w:divBdr>
                                                  <w:divsChild>
                                                    <w:div w:id="399716877">
                                                      <w:marLeft w:val="0"/>
                                                      <w:marRight w:val="0"/>
                                                      <w:marTop w:val="0"/>
                                                      <w:marBottom w:val="0"/>
                                                      <w:divBdr>
                                                        <w:top w:val="none" w:sz="0" w:space="0" w:color="auto"/>
                                                        <w:left w:val="none" w:sz="0" w:space="0" w:color="auto"/>
                                                        <w:bottom w:val="none" w:sz="0" w:space="0" w:color="auto"/>
                                                        <w:right w:val="none" w:sz="0" w:space="0" w:color="auto"/>
                                                      </w:divBdr>
                                                      <w:divsChild>
                                                        <w:div w:id="1949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817184">
      <w:bodyDiv w:val="1"/>
      <w:marLeft w:val="0"/>
      <w:marRight w:val="0"/>
      <w:marTop w:val="0"/>
      <w:marBottom w:val="0"/>
      <w:divBdr>
        <w:top w:val="none" w:sz="0" w:space="0" w:color="auto"/>
        <w:left w:val="none" w:sz="0" w:space="0" w:color="auto"/>
        <w:bottom w:val="none" w:sz="0" w:space="0" w:color="auto"/>
        <w:right w:val="none" w:sz="0" w:space="0" w:color="auto"/>
      </w:divBdr>
    </w:div>
    <w:div w:id="1340932923">
      <w:bodyDiv w:val="1"/>
      <w:marLeft w:val="0"/>
      <w:marRight w:val="0"/>
      <w:marTop w:val="0"/>
      <w:marBottom w:val="0"/>
      <w:divBdr>
        <w:top w:val="none" w:sz="0" w:space="0" w:color="auto"/>
        <w:left w:val="none" w:sz="0" w:space="0" w:color="auto"/>
        <w:bottom w:val="none" w:sz="0" w:space="0" w:color="auto"/>
        <w:right w:val="none" w:sz="0" w:space="0" w:color="auto"/>
      </w:divBdr>
    </w:div>
    <w:div w:id="1508473487">
      <w:bodyDiv w:val="1"/>
      <w:marLeft w:val="0"/>
      <w:marRight w:val="0"/>
      <w:marTop w:val="0"/>
      <w:marBottom w:val="0"/>
      <w:divBdr>
        <w:top w:val="none" w:sz="0" w:space="0" w:color="auto"/>
        <w:left w:val="none" w:sz="0" w:space="0" w:color="auto"/>
        <w:bottom w:val="none" w:sz="0" w:space="0" w:color="auto"/>
        <w:right w:val="none" w:sz="0" w:space="0" w:color="auto"/>
      </w:divBdr>
    </w:div>
    <w:div w:id="1577520706">
      <w:bodyDiv w:val="1"/>
      <w:marLeft w:val="0"/>
      <w:marRight w:val="0"/>
      <w:marTop w:val="0"/>
      <w:marBottom w:val="0"/>
      <w:divBdr>
        <w:top w:val="none" w:sz="0" w:space="0" w:color="auto"/>
        <w:left w:val="none" w:sz="0" w:space="0" w:color="auto"/>
        <w:bottom w:val="none" w:sz="0" w:space="0" w:color="auto"/>
        <w:right w:val="none" w:sz="0" w:space="0" w:color="auto"/>
      </w:divBdr>
    </w:div>
    <w:div w:id="1607153954">
      <w:bodyDiv w:val="1"/>
      <w:marLeft w:val="0"/>
      <w:marRight w:val="0"/>
      <w:marTop w:val="0"/>
      <w:marBottom w:val="0"/>
      <w:divBdr>
        <w:top w:val="none" w:sz="0" w:space="0" w:color="auto"/>
        <w:left w:val="none" w:sz="0" w:space="0" w:color="auto"/>
        <w:bottom w:val="none" w:sz="0" w:space="0" w:color="auto"/>
        <w:right w:val="none" w:sz="0" w:space="0" w:color="auto"/>
      </w:divBdr>
    </w:div>
    <w:div w:id="1648700224">
      <w:bodyDiv w:val="1"/>
      <w:marLeft w:val="0"/>
      <w:marRight w:val="0"/>
      <w:marTop w:val="0"/>
      <w:marBottom w:val="0"/>
      <w:divBdr>
        <w:top w:val="none" w:sz="0" w:space="0" w:color="auto"/>
        <w:left w:val="none" w:sz="0" w:space="0" w:color="auto"/>
        <w:bottom w:val="none" w:sz="0" w:space="0" w:color="auto"/>
        <w:right w:val="none" w:sz="0" w:space="0" w:color="auto"/>
      </w:divBdr>
    </w:div>
    <w:div w:id="1681196008">
      <w:bodyDiv w:val="1"/>
      <w:marLeft w:val="0"/>
      <w:marRight w:val="0"/>
      <w:marTop w:val="0"/>
      <w:marBottom w:val="0"/>
      <w:divBdr>
        <w:top w:val="none" w:sz="0" w:space="0" w:color="auto"/>
        <w:left w:val="none" w:sz="0" w:space="0" w:color="auto"/>
        <w:bottom w:val="none" w:sz="0" w:space="0" w:color="auto"/>
        <w:right w:val="none" w:sz="0" w:space="0" w:color="auto"/>
      </w:divBdr>
    </w:div>
    <w:div w:id="1862429251">
      <w:bodyDiv w:val="1"/>
      <w:marLeft w:val="0"/>
      <w:marRight w:val="0"/>
      <w:marTop w:val="0"/>
      <w:marBottom w:val="0"/>
      <w:divBdr>
        <w:top w:val="none" w:sz="0" w:space="0" w:color="auto"/>
        <w:left w:val="none" w:sz="0" w:space="0" w:color="auto"/>
        <w:bottom w:val="none" w:sz="0" w:space="0" w:color="auto"/>
        <w:right w:val="none" w:sz="0" w:space="0" w:color="auto"/>
      </w:divBdr>
    </w:div>
    <w:div w:id="1996762671">
      <w:bodyDiv w:val="1"/>
      <w:marLeft w:val="0"/>
      <w:marRight w:val="0"/>
      <w:marTop w:val="0"/>
      <w:marBottom w:val="0"/>
      <w:divBdr>
        <w:top w:val="none" w:sz="0" w:space="0" w:color="auto"/>
        <w:left w:val="none" w:sz="0" w:space="0" w:color="auto"/>
        <w:bottom w:val="none" w:sz="0" w:space="0" w:color="auto"/>
        <w:right w:val="none" w:sz="0" w:space="0" w:color="auto"/>
      </w:divBdr>
    </w:div>
    <w:div w:id="210908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Hilary Henshaw</dc:creator>
  <cp:keywords/>
  <dc:description/>
  <cp:lastModifiedBy>Hilary Henshaw</cp:lastModifiedBy>
  <cp:revision>14</cp:revision>
  <dcterms:created xsi:type="dcterms:W3CDTF">2025-02-23T22:08:00Z</dcterms:created>
  <dcterms:modified xsi:type="dcterms:W3CDTF">2025-02-23T23:25:00Z</dcterms:modified>
</cp:coreProperties>
</file>