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120"/>
        <w:jc w:val="center"/>
      </w:pPr>
      <w:r>
        <w:rPr>
          <w:rFonts w:ascii="Arial" w:hAnsi="Arial"/>
          <w:b/>
          <w:i w:val="0"/>
          <w:color w:val="1A2E45"/>
          <w:sz w:val="36"/>
        </w:rPr>
        <w:t>MASTER SERVICES AGREEMENT</w:t>
      </w:r>
    </w:p>
    <w:p>
      <w:pPr>
        <w:spacing w:after="320"/>
        <w:jc w:val="center"/>
      </w:pPr>
      <w:r>
        <w:rPr>
          <w:rFonts w:ascii="Arial" w:hAnsi="Arial"/>
          <w:b w:val="0"/>
          <w:i w:val="0"/>
          <w:color w:val="555555"/>
          <w:sz w:val="22"/>
        </w:rPr>
        <w:t>Effective Date: March 1, 2024</w:t>
      </w:r>
    </w:p>
    <w:p>
      <w:pPr>
        <w:spacing w:before="80" w:after="80"/>
        <w:pBdr>
          <w:bottom w:val="single" w:sz="4" w:space="1" w:color="CCCCCC"/>
        </w:pBdr>
      </w:pPr>
    </w:p>
    <w:p>
      <w:pPr>
        <w:spacing w:before="0" w:after="120"/>
        <w:jc w:val="left"/>
      </w:pPr>
      <w:r>
        <w:rPr>
          <w:rFonts w:ascii="Arial" w:hAnsi="Arial"/>
          <w:b w:val="0"/>
          <w:i w:val="0"/>
          <w:sz w:val="20"/>
        </w:rPr>
      </w:r>
    </w:p>
    <w:p>
      <w:pPr>
        <w:spacing w:before="0" w:after="200"/>
        <w:jc w:val="left"/>
      </w:pPr>
      <w:r>
        <w:rPr>
          <w:rFonts w:ascii="Arial" w:hAnsi="Arial"/>
          <w:b w:val="0"/>
          <w:i w:val="0"/>
          <w:sz w:val="20"/>
        </w:rPr>
        <w:t>This Master Services Agreement ("Agreement") is entered into as of March 1, 2024 ("Effective Date") by and between:</w:t>
      </w:r>
    </w:p>
    <w:tbl>
      <w:tblPr>
        <w:tblStyle w:val="TableGrid"/>
        <w:tblW w:type="auto" w:w="0"/>
        <w:tblLook w:firstColumn="1" w:firstRow="1" w:lastColumn="0" w:lastRow="0" w:noHBand="0" w:noVBand="1" w:val="04A0"/>
      </w:tblPr>
      <w:tblGrid>
        <w:gridCol w:w="4176"/>
        <w:gridCol w:w="4176"/>
      </w:tblGrid>
      <w:tr>
        <w:tc>
          <w:tcPr>
            <w:tcW w:type="dxa" w:w="4320"/>
          </w:tcPr>
          <w:p/>
          <w:p>
            <w:pPr>
              <w:spacing w:after="20"/>
            </w:pPr>
            <w:r>
              <w:rPr>
                <w:rFonts w:ascii="Arial" w:hAnsi="Arial"/>
                <w:b/>
                <w:i w:val="0"/>
                <w:sz w:val="20"/>
              </w:rPr>
              <w:t>Acme Corporation</w:t>
            </w:r>
          </w:p>
          <w:p>
            <w:pPr>
              <w:spacing w:after="20"/>
            </w:pPr>
            <w:r>
              <w:rPr>
                <w:rFonts w:ascii="Arial" w:hAnsi="Arial"/>
                <w:b w:val="0"/>
                <w:i w:val="0"/>
                <w:sz w:val="19"/>
              </w:rPr>
              <w:t>200 Park Avenue</w:t>
            </w:r>
          </w:p>
          <w:p>
            <w:pPr>
              <w:spacing w:after="20"/>
            </w:pPr>
            <w:r>
              <w:rPr>
                <w:rFonts w:ascii="Arial" w:hAnsi="Arial"/>
                <w:b w:val="0"/>
                <w:i w:val="0"/>
                <w:sz w:val="19"/>
              </w:rPr>
              <w:t>New York, NY 10166</w:t>
            </w:r>
          </w:p>
          <w:p>
            <w:pPr>
              <w:spacing w:after="20"/>
            </w:pPr>
            <w:r>
              <w:rPr>
                <w:rFonts w:ascii="Arial" w:hAnsi="Arial"/>
                <w:b w:val="0"/>
                <w:i w:val="0"/>
                <w:sz w:val="19"/>
              </w:rPr>
              <w:t>"Customer"</w:t>
            </w:r>
          </w:p>
        </w:tc>
        <w:tc>
          <w:tcPr>
            <w:tcW w:type="dxa" w:w="4320"/>
          </w:tcPr>
          <w:p/>
          <w:p>
            <w:pPr>
              <w:spacing w:after="20"/>
            </w:pPr>
            <w:r>
              <w:rPr>
                <w:rFonts w:ascii="Arial" w:hAnsi="Arial"/>
                <w:b/>
                <w:i w:val="0"/>
                <w:sz w:val="20"/>
              </w:rPr>
              <w:t>CloudBase Inc.</w:t>
            </w:r>
          </w:p>
          <w:p>
            <w:pPr>
              <w:spacing w:after="20"/>
            </w:pPr>
            <w:r>
              <w:rPr>
                <w:rFonts w:ascii="Arial" w:hAnsi="Arial"/>
                <w:b w:val="0"/>
                <w:i w:val="0"/>
                <w:sz w:val="19"/>
              </w:rPr>
              <w:t>4500 Tech Blvd</w:t>
            </w:r>
          </w:p>
          <w:p>
            <w:pPr>
              <w:spacing w:after="20"/>
            </w:pPr>
            <w:r>
              <w:rPr>
                <w:rFonts w:ascii="Arial" w:hAnsi="Arial"/>
                <w:b w:val="0"/>
                <w:i w:val="0"/>
                <w:sz w:val="19"/>
              </w:rPr>
              <w:t>San Francisco, CA 94105</w:t>
            </w:r>
          </w:p>
          <w:p>
            <w:pPr>
              <w:spacing w:after="20"/>
            </w:pPr>
            <w:r>
              <w:rPr>
                <w:rFonts w:ascii="Arial" w:hAnsi="Arial"/>
                <w:b w:val="0"/>
                <w:i w:val="0"/>
                <w:sz w:val="19"/>
              </w:rPr>
              <w:t>"Vendor"</w:t>
            </w:r>
          </w:p>
        </w:tc>
      </w:tr>
    </w:tbl>
    <w:p>
      <w:pPr>
        <w:spacing w:before="0" w:after="120"/>
        <w:jc w:val="left"/>
      </w:pPr>
      <w:r>
        <w:rPr>
          <w:rFonts w:ascii="Arial" w:hAnsi="Arial"/>
          <w:b w:val="0"/>
          <w:i w:val="0"/>
          <w:sz w:val="20"/>
        </w:rPr>
      </w:r>
    </w:p>
    <w:p>
      <w:pPr>
        <w:spacing w:before="80" w:after="80"/>
        <w:pBdr>
          <w:bottom w:val="single" w:sz="4" w:space="1" w:color="CCCCCC"/>
        </w:pBdr>
      </w:pPr>
    </w:p>
    <w:p>
      <w:pPr>
        <w:spacing w:before="0" w:after="120"/>
        <w:jc w:val="left"/>
      </w:pPr>
      <w:r>
        <w:rPr>
          <w:rFonts w:ascii="Arial" w:hAnsi="Arial"/>
          <w:b w:val="0"/>
          <w:i w:val="0"/>
          <w:sz w:val="20"/>
        </w:rPr>
      </w:r>
    </w:p>
    <w:p>
      <w:pPr>
        <w:spacing w:before="240" w:after="120"/>
      </w:pPr>
      <w:r>
        <w:rPr>
          <w:rFonts w:ascii="Arial" w:hAnsi="Arial"/>
          <w:b/>
          <w:i w:val="0"/>
          <w:color w:val="1A2E45"/>
          <w:sz w:val="22"/>
        </w:rPr>
        <w:t>1.  SERVICES</w:t>
      </w:r>
    </w:p>
    <w:p>
      <w:pPr>
        <w:spacing w:before="0" w:after="120"/>
        <w:jc w:val="left"/>
      </w:pPr>
      <w:r>
        <w:rPr>
          <w:rFonts w:ascii="Arial" w:hAnsi="Arial"/>
          <w:b w:val="0"/>
          <w:i w:val="0"/>
          <w:sz w:val="20"/>
        </w:rPr>
        <w:t>1.1  Scope.  Vendor shall provide cloud hosting, managed Kubernetes orchestration, and 24/7 infrastructure monitoring services (collectively, "Services") as further described in Schedule A attached hereto.</w:t>
      </w:r>
    </w:p>
    <w:p>
      <w:pPr>
        <w:spacing w:before="0" w:after="120"/>
        <w:jc w:val="left"/>
      </w:pPr>
      <w:r>
        <w:rPr>
          <w:rFonts w:ascii="Arial" w:hAnsi="Arial"/>
          <w:b w:val="0"/>
          <w:i w:val="0"/>
          <w:sz w:val="20"/>
        </w:rPr>
        <w:t>1.2  Service Levels.  Vendor commits to a monthly uptime SLA of 99.9% for all production environments. Credits for SLA breaches are detailed in Schedule B.</w:t>
      </w:r>
    </w:p>
    <w:p>
      <w:pPr>
        <w:spacing w:before="240" w:after="120"/>
      </w:pPr>
      <w:r>
        <w:rPr>
          <w:rFonts w:ascii="Arial" w:hAnsi="Arial"/>
          <w:b/>
          <w:i w:val="0"/>
          <w:color w:val="1A2E45"/>
          <w:sz w:val="22"/>
        </w:rPr>
        <w:t>2.  FEES AND PAYMENT</w:t>
      </w:r>
    </w:p>
    <w:p>
      <w:pPr>
        <w:spacing w:before="0" w:after="120"/>
        <w:jc w:val="left"/>
      </w:pPr>
      <w:r>
        <w:rPr>
          <w:rFonts w:ascii="Arial" w:hAnsi="Arial"/>
          <w:b w:val="0"/>
          <w:i w:val="0"/>
          <w:sz w:val="20"/>
        </w:rPr>
        <w:t>2.1  Annual Fee.  Customer shall pay Vendor an annual subscription fee of $120,000 USD, invoiced quarterly in advance at $30,000 per quarter.</w:t>
      </w:r>
    </w:p>
    <w:p>
      <w:pPr>
        <w:spacing w:before="0" w:after="120"/>
        <w:jc w:val="left"/>
      </w:pPr>
      <w:r>
        <w:rPr>
          <w:rFonts w:ascii="Arial" w:hAnsi="Arial"/>
          <w:b w:val="0"/>
          <w:i w:val="0"/>
          <w:sz w:val="20"/>
        </w:rPr>
        <w:t>2.2  Payment Terms.  All invoices are due Net-30 from the invoice date. Late payments accrue interest at 1.5% per month.</w:t>
      </w:r>
    </w:p>
    <w:p>
      <w:pPr>
        <w:spacing w:before="0" w:after="120"/>
        <w:jc w:val="left"/>
      </w:pPr>
      <w:r>
        <w:rPr>
          <w:rFonts w:ascii="Arial" w:hAnsi="Arial"/>
          <w:b w:val="0"/>
          <w:i w:val="0"/>
          <w:sz w:val="20"/>
        </w:rPr>
        <w:t>2.3  Fee Adjustments.  Vendor may adjust fees at renewal with 60 days' prior written notice.</w:t>
      </w:r>
    </w:p>
    <w:p>
      <w:pPr>
        <w:spacing w:before="240" w:after="120"/>
      </w:pPr>
      <w:r>
        <w:rPr>
          <w:rFonts w:ascii="Arial" w:hAnsi="Arial"/>
          <w:b/>
          <w:i w:val="0"/>
          <w:color w:val="1A2E45"/>
          <w:sz w:val="22"/>
        </w:rPr>
        <w:t>3.  TERM AND RENEWAL</w:t>
      </w:r>
    </w:p>
    <w:p>
      <w:pPr>
        <w:spacing w:before="0" w:after="120"/>
        <w:jc w:val="left"/>
      </w:pPr>
      <w:r>
        <w:rPr>
          <w:rFonts w:ascii="Arial" w:hAnsi="Arial"/>
          <w:b w:val="0"/>
          <w:i w:val="0"/>
          <w:sz w:val="20"/>
        </w:rPr>
        <w:t>3.1  Initial Term.  This Agreement commences on the Effective Date and continues for twelve (12) months, expiring on February 28, 2025 ("Initial Term").</w:t>
      </w:r>
    </w:p>
    <w:p>
      <w:pPr>
        <w:spacing w:before="0" w:after="120"/>
        <w:jc w:val="left"/>
      </w:pPr>
      <w:r>
        <w:rPr>
          <w:rFonts w:ascii="Arial" w:hAnsi="Arial"/>
          <w:b w:val="0"/>
          <w:i w:val="0"/>
          <w:sz w:val="20"/>
        </w:rPr>
        <w:t>3.2  Auto-Renewal.  Unless either party provides written notice of non-renewal at least 45 days prior to the end of the then-current term, this Agreement shall automatically renew for successive one-year periods on the same terms and conditions.</w:t>
      </w:r>
    </w:p>
    <w:p>
      <w:pPr>
        <w:spacing w:before="240" w:after="120"/>
      </w:pPr>
      <w:r>
        <w:rPr>
          <w:rFonts w:ascii="Arial" w:hAnsi="Arial"/>
          <w:b/>
          <w:i w:val="0"/>
          <w:color w:val="1A2E45"/>
          <w:sz w:val="22"/>
        </w:rPr>
        <w:t>4.  CONFIDENTIALITY</w:t>
      </w:r>
    </w:p>
    <w:p>
      <w:pPr>
        <w:spacing w:before="0" w:after="120"/>
        <w:jc w:val="left"/>
      </w:pPr>
      <w:r>
        <w:rPr>
          <w:rFonts w:ascii="Arial" w:hAnsi="Arial"/>
          <w:b w:val="0"/>
          <w:i w:val="0"/>
          <w:sz w:val="20"/>
        </w:rPr>
        <w:t>Each party agrees to hold the other party's Confidential Information in strict confidence and not disclose it to third parties without prior written consent.</w:t>
      </w:r>
    </w:p>
    <w:p>
      <w:pPr>
        <w:spacing w:before="240" w:after="120"/>
      </w:pPr>
      <w:r>
        <w:rPr>
          <w:rFonts w:ascii="Arial" w:hAnsi="Arial"/>
          <w:b/>
          <w:i w:val="0"/>
          <w:color w:val="1A2E45"/>
          <w:sz w:val="22"/>
        </w:rPr>
        <w:t>5.  INTELLECTUAL PROPERTY</w:t>
      </w:r>
    </w:p>
    <w:p>
      <w:pPr>
        <w:spacing w:before="0" w:after="120"/>
        <w:jc w:val="left"/>
      </w:pPr>
      <w:r>
        <w:rPr>
          <w:rFonts w:ascii="Arial" w:hAnsi="Arial"/>
          <w:b w:val="0"/>
          <w:i w:val="0"/>
          <w:sz w:val="20"/>
        </w:rPr>
        <w:t>All pre-existing intellectual property of each party remains the sole property of that party. No license is granted except as expressly stated herein.</w:t>
      </w:r>
    </w:p>
    <w:p>
      <w:pPr>
        <w:spacing w:before="240" w:after="120"/>
      </w:pPr>
      <w:r>
        <w:rPr>
          <w:rFonts w:ascii="Arial" w:hAnsi="Arial"/>
          <w:b/>
          <w:i w:val="0"/>
          <w:color w:val="1A2E45"/>
          <w:sz w:val="22"/>
        </w:rPr>
        <w:t>6.  LIMITATION OF LIABILITY</w:t>
      </w:r>
    </w:p>
    <w:p>
      <w:pPr>
        <w:spacing w:before="0" w:after="120"/>
        <w:jc w:val="left"/>
      </w:pPr>
      <w:r>
        <w:rPr>
          <w:rFonts w:ascii="Arial" w:hAnsi="Arial"/>
          <w:b w:val="0"/>
          <w:i w:val="0"/>
          <w:sz w:val="20"/>
        </w:rPr>
        <w:t>6.1  Liability Cap.  In no event shall either party's cumulative liability arising out of or related to this Agreement exceed the total fees paid or payable by Customer in the twelve (12) months immediately preceding the claim.</w:t>
      </w:r>
    </w:p>
    <w:p>
      <w:pPr>
        <w:spacing w:before="0" w:after="120"/>
        <w:jc w:val="left"/>
      </w:pPr>
      <w:r>
        <w:rPr>
          <w:rFonts w:ascii="Arial" w:hAnsi="Arial"/>
          <w:b w:val="0"/>
          <w:i w:val="0"/>
          <w:sz w:val="20"/>
        </w:rPr>
        <w:t>6.2  Exclusion of Consequential Damages.  Neither party shall be liable for any indirect, incidental, special, or consequential damages, even if advised of the possibility thereof.</w:t>
      </w:r>
    </w:p>
    <w:p>
      <w:pPr>
        <w:spacing w:before="240" w:after="120"/>
      </w:pPr>
      <w:r>
        <w:rPr>
          <w:rFonts w:ascii="Arial" w:hAnsi="Arial"/>
          <w:b/>
          <w:i w:val="0"/>
          <w:color w:val="1A2E45"/>
          <w:sz w:val="22"/>
        </w:rPr>
        <w:t>7.  INDEMNIFICATION</w:t>
      </w:r>
    </w:p>
    <w:p>
      <w:pPr>
        <w:spacing w:before="0" w:after="120"/>
        <w:jc w:val="left"/>
      </w:pPr>
      <w:r>
        <w:rPr>
          <w:rFonts w:ascii="Arial" w:hAnsi="Arial"/>
          <w:b w:val="0"/>
          <w:i w:val="0"/>
          <w:sz w:val="20"/>
        </w:rPr>
        <w:t>Each party ("Indemnifying Party") shall indemnify, defend, and hold harmless the other party from and against any third-party claims arising from the Indemnifying Party's gross negligence or willful misconduct.</w:t>
      </w:r>
    </w:p>
    <w:p>
      <w:pPr>
        <w:spacing w:before="240" w:after="120"/>
      </w:pPr>
      <w:r>
        <w:rPr>
          <w:rFonts w:ascii="Arial" w:hAnsi="Arial"/>
          <w:b/>
          <w:i w:val="0"/>
          <w:color w:val="1A2E45"/>
          <w:sz w:val="22"/>
        </w:rPr>
        <w:t>8.  TERMINATION</w:t>
      </w:r>
    </w:p>
    <w:p>
      <w:pPr>
        <w:spacing w:before="0" w:after="120"/>
        <w:jc w:val="left"/>
      </w:pPr>
      <w:r>
        <w:rPr>
          <w:rFonts w:ascii="Arial" w:hAnsi="Arial"/>
          <w:b w:val="0"/>
          <w:i w:val="0"/>
          <w:sz w:val="20"/>
        </w:rPr>
        <w:t>8.1  Termination for Convenience.  Either party may terminate this Agreement for convenience upon 30 days' prior written notice to the other party.</w:t>
      </w:r>
    </w:p>
    <w:p>
      <w:pPr>
        <w:spacing w:before="0" w:after="120"/>
        <w:jc w:val="left"/>
      </w:pPr>
      <w:r>
        <w:rPr>
          <w:rFonts w:ascii="Arial" w:hAnsi="Arial"/>
          <w:b w:val="0"/>
          <w:i w:val="0"/>
          <w:sz w:val="20"/>
        </w:rPr>
        <w:t>8.2  Termination for Cause.  Either party may terminate immediately upon written notice if the other party materially breaches this Agreement and fails to cure such breach within 15 days of receiving written notice thereof.</w:t>
      </w:r>
    </w:p>
    <w:p>
      <w:pPr>
        <w:spacing w:before="240" w:after="120"/>
      </w:pPr>
      <w:r>
        <w:rPr>
          <w:rFonts w:ascii="Arial" w:hAnsi="Arial"/>
          <w:b/>
          <w:i w:val="0"/>
          <w:color w:val="1A2E45"/>
          <w:sz w:val="22"/>
        </w:rPr>
        <w:t>9.  GOVERNING LAW AND DISPUTE RESOLUTION</w:t>
      </w:r>
    </w:p>
    <w:p>
      <w:pPr>
        <w:spacing w:before="0" w:after="120"/>
        <w:jc w:val="left"/>
      </w:pPr>
      <w:r>
        <w:rPr>
          <w:rFonts w:ascii="Arial" w:hAnsi="Arial"/>
          <w:b w:val="0"/>
          <w:i w:val="0"/>
          <w:sz w:val="20"/>
        </w:rPr>
        <w:t>This Agreement shall be governed by and construed in accordance with the laws of the State of Delaware, without regard to its conflict of law provisions. Any disputes shall be resolved by binding arbitration in New York, NY under the rules of JAMS.</w:t>
      </w:r>
    </w:p>
    <w:p>
      <w:pPr>
        <w:spacing w:before="240" w:after="120"/>
      </w:pPr>
      <w:r>
        <w:rPr>
          <w:rFonts w:ascii="Arial" w:hAnsi="Arial"/>
          <w:b/>
          <w:i w:val="0"/>
          <w:color w:val="1A2E45"/>
          <w:sz w:val="22"/>
        </w:rPr>
        <w:t>10.  GENERAL</w:t>
      </w:r>
    </w:p>
    <w:p>
      <w:pPr>
        <w:spacing w:before="0" w:after="120"/>
        <w:jc w:val="left"/>
      </w:pPr>
      <w:r>
        <w:rPr>
          <w:rFonts w:ascii="Arial" w:hAnsi="Arial"/>
          <w:b w:val="0"/>
          <w:i w:val="0"/>
          <w:sz w:val="20"/>
        </w:rPr>
        <w:t>10.1  Entire Agreement.  This Agreement, together with all Schedules, constitutes the entire agreement between the parties with respect to its subject matter.</w:t>
      </w:r>
    </w:p>
    <w:p>
      <w:pPr>
        <w:spacing w:before="0" w:after="120"/>
        <w:jc w:val="left"/>
      </w:pPr>
      <w:r>
        <w:rPr>
          <w:rFonts w:ascii="Arial" w:hAnsi="Arial"/>
          <w:b w:val="0"/>
          <w:i w:val="0"/>
          <w:sz w:val="20"/>
        </w:rPr>
        <w:t>10.2  Amendments.  This Agreement may only be amended by a written instrument signed by authorized representatives of both parties.</w:t>
      </w:r>
    </w:p>
    <w:p>
      <w:pPr>
        <w:spacing w:before="0" w:after="120"/>
        <w:jc w:val="left"/>
      </w:pPr>
      <w:r>
        <w:rPr>
          <w:rFonts w:ascii="Arial" w:hAnsi="Arial"/>
          <w:b w:val="0"/>
          <w:i w:val="0"/>
          <w:sz w:val="20"/>
        </w:rPr>
        <w:t>10.3  Notices.  All notices shall be delivered to the addresses listed on the signature page below.</w:t>
      </w:r>
    </w:p>
    <w:p>
      <w:pPr>
        <w:spacing w:before="0" w:after="120"/>
        <w:jc w:val="left"/>
      </w:pPr>
      <w:r>
        <w:rPr>
          <w:rFonts w:ascii="Arial" w:hAnsi="Arial"/>
          <w:b w:val="0"/>
          <w:i w:val="0"/>
          <w:sz w:val="20"/>
        </w:rPr>
      </w:r>
    </w:p>
    <w:p>
      <w:pPr>
        <w:spacing w:before="80" w:after="80"/>
        <w:pBdr>
          <w:bottom w:val="single" w:sz="4" w:space="1" w:color="CCCCCC"/>
        </w:pBdr>
      </w:pPr>
    </w:p>
    <w:p>
      <w:pPr>
        <w:spacing w:before="0" w:after="120"/>
        <w:jc w:val="left"/>
      </w:pPr>
      <w:r>
        <w:rPr>
          <w:rFonts w:ascii="Arial" w:hAnsi="Arial"/>
          <w:b w:val="0"/>
          <w:i w:val="0"/>
          <w:sz w:val="20"/>
        </w:rPr>
      </w:r>
    </w:p>
    <w:p>
      <w:pPr>
        <w:spacing w:before="0" w:after="280"/>
        <w:jc w:val="left"/>
      </w:pPr>
      <w:r>
        <w:rPr>
          <w:rFonts w:ascii="Arial" w:hAnsi="Arial"/>
          <w:b w:val="0"/>
          <w:i w:val="0"/>
          <w:sz w:val="20"/>
        </w:rPr>
        <w:t>IN WITNESS WHEREOF, the parties have executed this Agreement as of the Effective Date.</w:t>
      </w:r>
    </w:p>
    <w:tbl>
      <w:tblPr>
        <w:tblW w:type="auto" w:w="0"/>
        <w:tblLook w:firstColumn="1" w:firstRow="1" w:lastColumn="0" w:lastRow="0" w:noHBand="0" w:noVBand="1" w:val="04A0"/>
      </w:tblPr>
      <w:tblGrid>
        <w:gridCol w:w="4176"/>
        <w:gridCol w:w="4176"/>
      </w:tblGrid>
      <w:tr>
        <w:tc>
          <w:tcPr>
            <w:tcW w:type="dxa" w:w="4320"/>
            <w:tcBdr>
              <w:top w:val="none"/>
              <w:left w:val="none"/>
              <w:bottom w:val="none"/>
              <w:right w:val="none"/>
            </w:tcBdr>
          </w:tcPr>
          <w:p>
            <w:pPr>
              <w:spacing w:before="80"/>
            </w:pPr>
            <w:r>
              <w:rPr>
                <w:rFonts w:ascii="Arial" w:hAnsi="Arial"/>
                <w:b/>
                <w:i w:val="0"/>
                <w:sz w:val="19"/>
              </w:rPr>
              <w:t>ACME CORPORATION</w:t>
            </w:r>
          </w:p>
        </w:tc>
        <w:tc>
          <w:tcPr>
            <w:tcW w:type="dxa" w:w="4320"/>
            <w:tcBdr>
              <w:top w:val="none"/>
              <w:left w:val="none"/>
              <w:bottom w:val="none"/>
              <w:right w:val="none"/>
            </w:tcBdr>
          </w:tcPr>
          <w:p>
            <w:pPr>
              <w:spacing w:before="80"/>
            </w:pPr>
            <w:r>
              <w:rPr>
                <w:rFonts w:ascii="Arial" w:hAnsi="Arial"/>
                <w:b/>
                <w:i w:val="0"/>
                <w:sz w:val="19"/>
              </w:rPr>
              <w:t>CLOUDBASE INC.</w:t>
            </w:r>
          </w:p>
        </w:tc>
      </w:tr>
      <w:tr>
        <w:tc>
          <w:tcPr>
            <w:tcW w:type="dxa" w:w="4320"/>
            <w:tcBdr>
              <w:top w:val="none"/>
              <w:left w:val="none"/>
              <w:bottom w:val="none"/>
              <w:right w:val="none"/>
            </w:tcBdr>
          </w:tcPr>
          <w:p>
            <w:pPr>
              <w:spacing w:before="80"/>
            </w:pPr>
            <w:r>
              <w:rPr>
                <w:rFonts w:ascii="Arial" w:hAnsi="Arial"/>
                <w:b w:val="0"/>
                <w:i w:val="0"/>
                <w:sz w:val="19"/>
              </w:rPr>
              <w:t>By: ______________________________</w:t>
            </w:r>
          </w:p>
        </w:tc>
        <w:tc>
          <w:tcPr>
            <w:tcW w:type="dxa" w:w="4320"/>
            <w:tcBdr>
              <w:top w:val="none"/>
              <w:left w:val="none"/>
              <w:bottom w:val="none"/>
              <w:right w:val="none"/>
            </w:tcBdr>
          </w:tcPr>
          <w:p>
            <w:pPr>
              <w:spacing w:before="80"/>
            </w:pPr>
            <w:r>
              <w:rPr>
                <w:rFonts w:ascii="Arial" w:hAnsi="Arial"/>
                <w:b w:val="0"/>
                <w:i w:val="0"/>
                <w:sz w:val="19"/>
              </w:rPr>
              <w:t>By: ______________________________</w:t>
            </w:r>
          </w:p>
        </w:tc>
      </w:tr>
      <w:tr>
        <w:tc>
          <w:tcPr>
            <w:tcW w:type="dxa" w:w="4320"/>
            <w:tcBdr>
              <w:top w:val="none"/>
              <w:left w:val="none"/>
              <w:bottom w:val="none"/>
              <w:right w:val="none"/>
            </w:tcBdr>
          </w:tcPr>
          <w:p>
            <w:pPr>
              <w:spacing w:before="80"/>
            </w:pPr>
            <w:r>
              <w:rPr>
                <w:rFonts w:ascii="Arial" w:hAnsi="Arial"/>
                <w:b w:val="0"/>
                <w:i w:val="0"/>
                <w:sz w:val="19"/>
              </w:rPr>
              <w:t>Name: Sarah Mitchell</w:t>
            </w:r>
          </w:p>
        </w:tc>
        <w:tc>
          <w:tcPr>
            <w:tcW w:type="dxa" w:w="4320"/>
            <w:tcBdr>
              <w:top w:val="none"/>
              <w:left w:val="none"/>
              <w:bottom w:val="none"/>
              <w:right w:val="none"/>
            </w:tcBdr>
          </w:tcPr>
          <w:p>
            <w:pPr>
              <w:spacing w:before="80"/>
            </w:pPr>
            <w:r>
              <w:rPr>
                <w:rFonts w:ascii="Arial" w:hAnsi="Arial"/>
                <w:b w:val="0"/>
                <w:i w:val="0"/>
                <w:sz w:val="19"/>
              </w:rPr>
              <w:t>Name: Derek Patel</w:t>
            </w:r>
          </w:p>
        </w:tc>
      </w:tr>
      <w:tr>
        <w:tc>
          <w:tcPr>
            <w:tcW w:type="dxa" w:w="4320"/>
            <w:tcBdr>
              <w:top w:val="none"/>
              <w:left w:val="none"/>
              <w:bottom w:val="none"/>
              <w:right w:val="none"/>
            </w:tcBdr>
          </w:tcPr>
          <w:p>
            <w:pPr>
              <w:spacing w:before="80"/>
            </w:pPr>
            <w:r>
              <w:rPr>
                <w:rFonts w:ascii="Arial" w:hAnsi="Arial"/>
                <w:b w:val="0"/>
                <w:i w:val="0"/>
                <w:sz w:val="19"/>
              </w:rPr>
              <w:t>Title: Chief Procurement Officer</w:t>
            </w:r>
          </w:p>
        </w:tc>
        <w:tc>
          <w:tcPr>
            <w:tcW w:type="dxa" w:w="4320"/>
            <w:tcBdr>
              <w:top w:val="none"/>
              <w:left w:val="none"/>
              <w:bottom w:val="none"/>
              <w:right w:val="none"/>
            </w:tcBdr>
          </w:tcPr>
          <w:p>
            <w:pPr>
              <w:spacing w:before="80"/>
            </w:pPr>
            <w:r>
              <w:rPr>
                <w:rFonts w:ascii="Arial" w:hAnsi="Arial"/>
                <w:b w:val="0"/>
                <w:i w:val="0"/>
                <w:sz w:val="19"/>
              </w:rPr>
              <w:t>Title: VP of Sales</w:t>
            </w:r>
          </w:p>
        </w:tc>
      </w:tr>
      <w:tr>
        <w:tc>
          <w:tcPr>
            <w:tcW w:type="dxa" w:w="4320"/>
            <w:tcBdr>
              <w:top w:val="none"/>
              <w:left w:val="none"/>
              <w:bottom w:val="none"/>
              <w:right w:val="none"/>
            </w:tcBdr>
          </w:tcPr>
          <w:p>
            <w:pPr>
              <w:spacing w:before="80"/>
            </w:pPr>
            <w:r>
              <w:rPr>
                <w:rFonts w:ascii="Arial" w:hAnsi="Arial"/>
                <w:b w:val="0"/>
                <w:i w:val="0"/>
                <w:sz w:val="19"/>
              </w:rPr>
              <w:t>Date: February 28, 2024</w:t>
            </w:r>
          </w:p>
        </w:tc>
        <w:tc>
          <w:tcPr>
            <w:tcW w:type="dxa" w:w="4320"/>
            <w:tcBdr>
              <w:top w:val="none"/>
              <w:left w:val="none"/>
              <w:bottom w:val="none"/>
              <w:right w:val="none"/>
            </w:tcBdr>
          </w:tcPr>
          <w:p>
            <w:pPr>
              <w:spacing w:before="80"/>
            </w:pPr>
            <w:r>
              <w:rPr>
                <w:rFonts w:ascii="Arial" w:hAnsi="Arial"/>
                <w:b w:val="0"/>
                <w:i w:val="0"/>
                <w:sz w:val="19"/>
              </w:rPr>
              <w:t>Date: February 28, 2024</w:t>
            </w:r>
          </w:p>
        </w:tc>
      </w:tr>
      <w:tr>
        <w:tc>
          <w:tcPr>
            <w:tcW w:type="dxa" w:w="4320"/>
            <w:tcBdr>
              <w:top w:val="none"/>
              <w:left w:val="none"/>
              <w:bottom w:val="none"/>
              <w:right w:val="none"/>
            </w:tcBdr>
          </w:tcPr>
          <w:p>
            <w:pPr>
              <w:spacing w:before="80"/>
            </w:pPr>
            <w:r>
              <w:rPr>
                <w:rFonts w:ascii="Arial" w:hAnsi="Arial"/>
                <w:b w:val="0"/>
                <w:i w:val="0"/>
                <w:sz w:val="19"/>
              </w:rPr>
              <w:t>legal@acmecorp.com</w:t>
            </w:r>
          </w:p>
        </w:tc>
        <w:tc>
          <w:tcPr>
            <w:tcW w:type="dxa" w:w="4320"/>
            <w:tcBdr>
              <w:top w:val="none"/>
              <w:left w:val="none"/>
              <w:bottom w:val="none"/>
              <w:right w:val="none"/>
            </w:tcBdr>
          </w:tcPr>
          <w:p>
            <w:pPr>
              <w:spacing w:before="80"/>
            </w:pPr>
            <w:r>
              <w:rPr>
                <w:rFonts w:ascii="Arial" w:hAnsi="Arial"/>
                <w:b w:val="0"/>
                <w:i w:val="0"/>
                <w:sz w:val="19"/>
              </w:rPr>
              <w:t>contracts@cloudbase.io</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