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rFonts w:ascii="Arial" w:hAnsi="Arial"/>
          <w:b/>
          <w:i w:val="0"/>
          <w:color w:val="1A2E45"/>
          <w:sz w:val="36"/>
        </w:rPr>
        <w:t>STATEMENT OF WORK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555555"/>
          <w:sz w:val="26"/>
        </w:rPr>
        <w:t>Intelligent Document Processing Automation</w:t>
      </w:r>
    </w:p>
    <w:p>
      <w:pPr>
        <w:spacing w:after="320"/>
        <w:jc w:val="center"/>
      </w:pPr>
      <w:r>
        <w:rPr>
          <w:rFonts w:ascii="Arial" w:hAnsi="Arial"/>
          <w:b w:val="0"/>
          <w:i w:val="0"/>
          <w:color w:val="888888"/>
          <w:sz w:val="19"/>
        </w:rPr>
        <w:t>SOW Number: ENT-SOW-2024-019  |  Version 1.0  |  September 5, 2024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0" w:after="120"/>
        <w:jc w:val="left"/>
      </w:pPr>
      <w:r>
        <w:rPr>
          <w:rFonts w:ascii="Arial" w:hAnsi="Arial"/>
          <w:b w:val="0"/>
          <w:i w:val="0"/>
          <w:sz w:val="2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76"/>
        <w:gridCol w:w="4176"/>
      </w:tblGrid>
      <w:tr>
        <w:tc>
          <w:tcPr>
            <w:tcW w:type="dxa" w:w="4320"/>
          </w:tcPr>
          <w:p/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1A2E45"/>
                <w:sz w:val="19"/>
              </w:rPr>
              <w:t>CLIENT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sz w:val="19"/>
              </w:rPr>
              <w:t>NovaBridge Financial Services Pvt. Ltd.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sz w:val="19"/>
              </w:rPr>
              <w:t>12th Floor, One BKC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sz w:val="19"/>
              </w:rPr>
              <w:t>Bandra Kurla Complex, Mumbai 400051</w:t>
            </w:r>
          </w:p>
        </w:tc>
        <w:tc>
          <w:tcPr>
            <w:tcW w:type="dxa" w:w="4320"/>
          </w:tcPr>
          <w:p/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1A2E45"/>
                <w:sz w:val="19"/>
              </w:rPr>
              <w:t>VENDOR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sz w:val="19"/>
              </w:rPr>
              <w:t>Ententia AI Solutions Pvt. Ltd.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sz w:val="19"/>
              </w:rPr>
              <w:t>WeWork Berger Delhi One, Sector 16B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sz w:val="19"/>
              </w:rPr>
              <w:t>Noida 201301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i w:val="0"/>
          <w:sz w:val="20"/>
        </w:rPr>
      </w:r>
    </w:p>
    <w:p>
      <w:pPr>
        <w:spacing w:before="0" w:after="120"/>
        <w:jc w:val="left"/>
      </w:pPr>
      <w:r>
        <w:rPr>
          <w:rFonts w:ascii="Arial" w:hAnsi="Arial"/>
          <w:b w:val="0"/>
          <w:i/>
          <w:color w:val="555555"/>
          <w:sz w:val="19"/>
        </w:rPr>
        <w:t>This Statement of Work is entered into under the Master Services Agreement dated June 1, 2024 between Client and Vendor.</w:t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sz w:val="20"/>
        </w:rPr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0" w:after="120"/>
        <w:jc w:val="left"/>
      </w:pPr>
      <w:r>
        <w:rPr>
          <w:rFonts w:ascii="Arial" w:hAnsi="Arial"/>
          <w:b w:val="0"/>
          <w:i w:val="0"/>
          <w:sz w:val="20"/>
        </w:rPr>
      </w:r>
    </w:p>
    <w:p>
      <w:pPr>
        <w:spacing w:before="240" w:after="80"/>
      </w:pPr>
      <w:r>
        <w:rPr>
          <w:rFonts w:ascii="Arial" w:hAnsi="Arial"/>
          <w:b/>
          <w:i w:val="0"/>
          <w:color w:val="1A2E45"/>
          <w:sz w:val="22"/>
        </w:rPr>
        <w:t>1.  PROJECT OVERVIEW</w:t>
      </w:r>
    </w:p>
    <w:p>
      <w:pPr>
        <w:spacing w:before="0" w:after="100"/>
        <w:jc w:val="left"/>
      </w:pPr>
      <w:r>
        <w:rPr>
          <w:rFonts w:ascii="Arial" w:hAnsi="Arial"/>
          <w:b w:val="0"/>
          <w:i w:val="0"/>
          <w:sz w:val="20"/>
        </w:rPr>
        <w:t>NovaBridge processes over 15,000 loan application documents per month — including income proof, KYC documents, bank statements, and property papers — largely through manual review. Vendor will design and deploy an AI-powered Intelligent Document Processing (IDP) system to automate extraction, classification, and validation of these documents, reducing manual processing time by at least 70%.</w:t>
      </w:r>
    </w:p>
    <w:p>
      <w:pPr>
        <w:spacing w:before="240" w:after="80"/>
      </w:pPr>
      <w:r>
        <w:rPr>
          <w:rFonts w:ascii="Arial" w:hAnsi="Arial"/>
          <w:b/>
          <w:i w:val="0"/>
          <w:color w:val="1A2E45"/>
          <w:sz w:val="22"/>
        </w:rPr>
        <w:t>2.  SCOPE OF WORK</w:t>
      </w:r>
    </w:p>
    <w:p>
      <w:pPr>
        <w:spacing w:before="160" w:after="80"/>
      </w:pPr>
      <w:r>
        <w:rPr>
          <w:rFonts w:ascii="Arial" w:hAnsi="Arial"/>
          <w:b/>
          <w:i w:val="0"/>
          <w:color w:val="555555"/>
          <w:sz w:val="20"/>
        </w:rPr>
        <w:t>2.1  Document Ingestion &amp; Pre-processing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19"/>
        </w:rPr>
        <w:t>Scalable ingestion pipeline supporting PDF, JPEG, PNG, and TIFF formats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19"/>
        </w:rPr>
        <w:t>OCR for scanned documents using best-in-class models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19"/>
        </w:rPr>
        <w:t>Document quality assessment and rejection workflow for illegible inputs</w:t>
      </w:r>
    </w:p>
    <w:p>
      <w:pPr>
        <w:spacing w:before="160" w:after="80"/>
      </w:pPr>
      <w:r>
        <w:rPr>
          <w:rFonts w:ascii="Arial" w:hAnsi="Arial"/>
          <w:b/>
          <w:i w:val="0"/>
          <w:color w:val="555555"/>
          <w:sz w:val="20"/>
        </w:rPr>
        <w:t>2.2  Document Classification Engine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19"/>
        </w:rPr>
        <w:t>Multi-class classifier supporting: Income Proof, Bank Statement, KYC – Aadhaar, KYC – PAN, Property Document, Loan Agreement, Other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19"/>
        </w:rPr>
        <w:t>Target classification accuracy: ≥95% on held-out test set</w:t>
      </w:r>
    </w:p>
    <w:p>
      <w:pPr>
        <w:spacing w:before="160" w:after="80"/>
      </w:pPr>
      <w:r>
        <w:rPr>
          <w:rFonts w:ascii="Arial" w:hAnsi="Arial"/>
          <w:b/>
          <w:i w:val="0"/>
          <w:color w:val="555555"/>
          <w:sz w:val="20"/>
        </w:rPr>
        <w:t>2.3  Intelligent Field Extraction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19"/>
        </w:rPr>
        <w:t>Named entity recognition and structured extraction for each document class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19"/>
        </w:rPr>
        <w:t>Extraction confidence scoring with human-review queue for low-confidence outputs</w:t>
      </w:r>
    </w:p>
    <w:p>
      <w:pPr>
        <w:spacing w:before="160" w:after="80"/>
      </w:pPr>
      <w:r>
        <w:rPr>
          <w:rFonts w:ascii="Arial" w:hAnsi="Arial"/>
          <w:b/>
          <w:i w:val="0"/>
          <w:color w:val="555555"/>
          <w:sz w:val="20"/>
        </w:rPr>
        <w:t>2.4  Validation &amp; Business Rules Engine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19"/>
        </w:rPr>
        <w:t>Cross-document consistency checks (e.g. name on PAN matches name on bank statement)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19"/>
        </w:rPr>
        <w:t>Configurable rule engine for client-specific validation logic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19"/>
        </w:rPr>
        <w:t>Exception flagging and audit log</w:t>
      </w:r>
    </w:p>
    <w:p>
      <w:pPr>
        <w:spacing w:before="160" w:after="80"/>
      </w:pPr>
      <w:r>
        <w:rPr>
          <w:rFonts w:ascii="Arial" w:hAnsi="Arial"/>
          <w:b/>
          <w:i w:val="0"/>
          <w:color w:val="555555"/>
          <w:sz w:val="20"/>
        </w:rPr>
        <w:t>2.5  Integration &amp; API Layer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19"/>
        </w:rPr>
        <w:t>REST API for integration with Client's Nucleus Software Finnone loan origination system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19"/>
        </w:rPr>
        <w:t>Webhook support for real-time processing callbacks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19"/>
        </w:rPr>
        <w:t>Admin dashboard for monitoring throughput, accuracy metrics, and queue status</w:t>
      </w:r>
    </w:p>
    <w:p>
      <w:pPr>
        <w:spacing w:before="160" w:after="80"/>
      </w:pPr>
      <w:r>
        <w:rPr>
          <w:rFonts w:ascii="Arial" w:hAnsi="Arial"/>
          <w:b/>
          <w:i w:val="0"/>
          <w:color w:val="555555"/>
          <w:sz w:val="20"/>
        </w:rPr>
        <w:t>2.6  Testing, UAT &amp; Handover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19"/>
        </w:rPr>
        <w:t>Unit and integration test suite with ≥80% code coverage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19"/>
        </w:rPr>
        <w:t>User Acceptance Testing support (2 rounds)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19"/>
        </w:rPr>
        <w:t>Technical documentation, runbooks, and 2-day on-site training session in Mumbai</w:t>
      </w:r>
    </w:p>
    <w:p>
      <w:pPr>
        <w:spacing w:before="240" w:after="80"/>
      </w:pPr>
      <w:r>
        <w:rPr>
          <w:rFonts w:ascii="Arial" w:hAnsi="Arial"/>
          <w:b/>
          <w:i w:val="0"/>
          <w:color w:val="1A2E45"/>
          <w:sz w:val="22"/>
        </w:rPr>
        <w:t>3.  DELIVERABLES AND MILESTONES</w:t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color="auto" w:fill="1A2E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Milestone</w:t>
            </w:r>
          </w:p>
        </w:tc>
        <w:tc>
          <w:tcPr>
            <w:tcW w:type="dxa" w:w="4320"/>
            <w:shd w:val="clear" w:color="auto" w:fill="1A2E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Deliverable</w:t>
            </w:r>
          </w:p>
        </w:tc>
        <w:tc>
          <w:tcPr>
            <w:tcW w:type="dxa" w:w="1800"/>
            <w:shd w:val="clear" w:color="auto" w:fill="1A2E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Due Date</w:t>
            </w:r>
          </w:p>
        </w:tc>
        <w:tc>
          <w:tcPr>
            <w:tcW w:type="dxa" w:w="1656"/>
            <w:shd w:val="clear" w:color="auto" w:fill="1A2E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Payment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Milestone 1</w:t>
            </w:r>
          </w:p>
        </w:tc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Architecture Decision Record, Data Handling Agreement</w:t>
            </w:r>
          </w:p>
        </w:tc>
        <w:tc>
          <w:tcPr>
            <w:tcW w:type="dxa" w:w="18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20 Sep 2024</w:t>
            </w:r>
          </w:p>
        </w:tc>
        <w:tc>
          <w:tcPr>
            <w:tcW w:type="dxa" w:w="16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₹8,00,000</w:t>
            </w:r>
          </w:p>
        </w:tc>
      </w:tr>
      <w:tr>
        <w:tc>
          <w:tcPr>
            <w:tcW w:type="dxa" w:w="1872"/>
            <w:shd w:val="clear" w:color="auto" w:fill="F5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Milestone 2</w:t>
            </w:r>
          </w:p>
        </w:tc>
        <w:tc>
          <w:tcPr>
            <w:tcW w:type="dxa" w:w="4320"/>
            <w:shd w:val="clear" w:color="auto" w:fill="F5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Ingestion pipeline + classifier (≥90% accuracy on dev set)</w:t>
            </w:r>
          </w:p>
        </w:tc>
        <w:tc>
          <w:tcPr>
            <w:tcW w:type="dxa" w:w="1800"/>
            <w:shd w:val="clear" w:color="auto" w:fill="F5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25 Oct 2024</w:t>
            </w:r>
          </w:p>
        </w:tc>
        <w:tc>
          <w:tcPr>
            <w:tcW w:type="dxa" w:w="1656"/>
            <w:shd w:val="clear" w:color="auto" w:fill="F5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₹10,00,000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Milestone 3</w:t>
            </w:r>
          </w:p>
        </w:tc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Extraction engine for all 7 document classes + validation rule engine</w:t>
            </w:r>
          </w:p>
        </w:tc>
        <w:tc>
          <w:tcPr>
            <w:tcW w:type="dxa" w:w="18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06 Dec 2024</w:t>
            </w:r>
          </w:p>
        </w:tc>
        <w:tc>
          <w:tcPr>
            <w:tcW w:type="dxa" w:w="16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₹12,00,000</w:t>
            </w:r>
          </w:p>
        </w:tc>
      </w:tr>
      <w:tr>
        <w:tc>
          <w:tcPr>
            <w:tcW w:type="dxa" w:w="1872"/>
            <w:shd w:val="clear" w:color="auto" w:fill="F5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Milestone 4</w:t>
            </w:r>
          </w:p>
        </w:tc>
        <w:tc>
          <w:tcPr>
            <w:tcW w:type="dxa" w:w="4320"/>
            <w:shd w:val="clear" w:color="auto" w:fill="F5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Integrated API, admin dashboard, UAT support (2 rounds)</w:t>
            </w:r>
          </w:p>
        </w:tc>
        <w:tc>
          <w:tcPr>
            <w:tcW w:type="dxa" w:w="1800"/>
            <w:shd w:val="clear" w:color="auto" w:fill="F5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17 Jan 2025</w:t>
            </w:r>
          </w:p>
        </w:tc>
        <w:tc>
          <w:tcPr>
            <w:tcW w:type="dxa" w:w="1656"/>
            <w:shd w:val="clear" w:color="auto" w:fill="F5F7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₹8,00,000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Milestone 5</w:t>
            </w:r>
          </w:p>
        </w:tc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Production deployment, training session, runbooks</w:t>
            </w:r>
          </w:p>
        </w:tc>
        <w:tc>
          <w:tcPr>
            <w:tcW w:type="dxa" w:w="18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07 Feb 2025</w:t>
            </w:r>
          </w:p>
        </w:tc>
        <w:tc>
          <w:tcPr>
            <w:tcW w:type="dxa" w:w="16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₹2,00,000</w:t>
            </w:r>
          </w:p>
        </w:tc>
      </w:tr>
      <w:tr>
        <w:tc>
          <w:tcPr>
            <w:tcW w:type="dxa" w:w="7992"/>
            <w:gridSpan w:val="3"/>
            <w:shd w:val="clear" w:color="auto" w:fill="EEF2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9"/>
              </w:rPr>
              <w:t>TOTAL CONTRACT VALUE</w:t>
            </w:r>
          </w:p>
        </w:tc>
        <w:tc>
          <w:tcPr>
            <w:tcW w:type="dxa" w:w="1656"/>
            <w:shd w:val="clear" w:color="auto" w:fill="EEF2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sz w:val="19"/>
              </w:rPr>
              <w:t>₹40,00,000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i w:val="0"/>
          <w:sz w:val="20"/>
        </w:rPr>
      </w:r>
    </w:p>
    <w:p>
      <w:pPr>
        <w:spacing w:before="240" w:after="80"/>
      </w:pPr>
      <w:r>
        <w:rPr>
          <w:rFonts w:ascii="Arial" w:hAnsi="Arial"/>
          <w:b/>
          <w:i w:val="0"/>
          <w:color w:val="1A2E45"/>
          <w:sz w:val="22"/>
        </w:rPr>
        <w:t>4.  PROJECT TIMELINE</w:t>
      </w:r>
    </w:p>
    <w:p>
      <w:pPr>
        <w:spacing w:before="0" w:after="100"/>
        <w:jc w:val="left"/>
      </w:pPr>
      <w:r>
        <w:rPr>
          <w:rFonts w:ascii="Arial" w:hAnsi="Arial"/>
          <w:b w:val="0"/>
          <w:i w:val="0"/>
          <w:sz w:val="20"/>
        </w:rPr>
        <w:t>Start Date: September 20, 2024   |   End Date: February 7, 2025   |   Duration: ~20 weeks</w:t>
      </w:r>
    </w:p>
    <w:p>
      <w:pPr>
        <w:spacing w:before="240" w:after="80"/>
      </w:pPr>
      <w:r>
        <w:rPr>
          <w:rFonts w:ascii="Arial" w:hAnsi="Arial"/>
          <w:b/>
          <w:i w:val="0"/>
          <w:color w:val="1A2E45"/>
          <w:sz w:val="22"/>
        </w:rPr>
        <w:t>5.  KEY CONTACTS</w:t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76"/>
        <w:gridCol w:w="4176"/>
      </w:tblGrid>
      <w:tr>
        <w:tc>
          <w:tcPr>
            <w:tcW w:type="dxa" w:w="4320"/>
            <w:shd w:val="clear" w:color="auto" w:fill="1A2E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Client — NovaBridge</w:t>
            </w:r>
          </w:p>
        </w:tc>
        <w:tc>
          <w:tcPr>
            <w:tcW w:type="dxa" w:w="4320"/>
            <w:shd w:val="clear" w:color="auto" w:fill="1A2E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Vendor — Ententia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/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sz w:val="19"/>
              </w:rPr>
              <w:t>Ramesh Iyer, CTO (Executive Sponsor)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sz w:val="19"/>
              </w:rPr>
              <w:t>ramesh.iyer@novabridge.in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/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sz w:val="19"/>
              </w:rPr>
              <w:t>Nishant Shah, Co-Founder &amp; CEO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sz w:val="19"/>
              </w:rPr>
              <w:t>nishant.shah@ententia.ai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5F7FA"/>
          </w:tcPr>
          <w:p/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sz w:val="19"/>
              </w:rPr>
              <w:t>Kavitha Subramaniam (Project Lead)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sz w:val="19"/>
              </w:rPr>
              <w:t>kavitha.s@novabridge.in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5F7FA"/>
          </w:tcPr>
          <w:p/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sz w:val="19"/>
              </w:rPr>
              <w:t>Arjun Pillai, Technical Lead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sz w:val="19"/>
              </w:rPr>
              <w:t>arjun.pillai@ententia.ai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/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sz w:val="19"/>
              </w:rPr>
              <w:t>Yash Malhotra (IT Integration Lead)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sz w:val="19"/>
              </w:rPr>
              <w:t>yash.malhotra@novabridge.in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/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sz w:val="19"/>
              </w:rPr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i w:val="0"/>
          <w:sz w:val="20"/>
        </w:rPr>
      </w:r>
    </w:p>
    <w:p>
      <w:pPr>
        <w:spacing w:before="240" w:after="80"/>
      </w:pPr>
      <w:r>
        <w:rPr>
          <w:rFonts w:ascii="Arial" w:hAnsi="Arial"/>
          <w:b/>
          <w:i w:val="0"/>
          <w:color w:val="1A2E45"/>
          <w:sz w:val="22"/>
        </w:rPr>
        <w:t>6.  ASSUMPTIONS AND EXCLUSIONS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19"/>
        </w:rPr>
        <w:t>Client will provide access to at minimum 5,000 labeled sample documents within 5 business days of project kickoff.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19"/>
        </w:rPr>
        <w:t>Client is responsible for provisioning AWS infrastructure (Vendor will provide sizing specifications).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19"/>
        </w:rPr>
        <w:t>This SOW does not include mobile application development or integration with systems other than Finnone.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sz w:val="19"/>
        </w:rPr>
        <w:t>Any change in scope requires a signed Change Order and may affect timeline and cost.</w:t>
      </w:r>
    </w:p>
    <w:p>
      <w:pPr>
        <w:spacing w:before="240" w:after="80"/>
      </w:pPr>
      <w:r>
        <w:rPr>
          <w:rFonts w:ascii="Arial" w:hAnsi="Arial"/>
          <w:b/>
          <w:i w:val="0"/>
          <w:color w:val="1A2E45"/>
          <w:sz w:val="22"/>
        </w:rPr>
        <w:t>7.  ACCEPTANCE CRITERIA</w:t>
      </w:r>
    </w:p>
    <w:p>
      <w:pPr>
        <w:spacing w:before="0" w:after="100"/>
        <w:jc w:val="left"/>
      </w:pPr>
      <w:r>
        <w:rPr>
          <w:rFonts w:ascii="Arial" w:hAnsi="Arial"/>
          <w:b w:val="0"/>
          <w:i w:val="0"/>
          <w:sz w:val="20"/>
        </w:rPr>
        <w:t>Each milestone deliverable will be accepted upon written sign-off from Client's Project Lead within 5 business days of delivery. Failure to respond within 5 days constitutes deemed acceptance.</w:t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sz w:val="20"/>
        </w:rPr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0" w:after="120"/>
        <w:jc w:val="left"/>
      </w:pPr>
      <w:r>
        <w:rPr>
          <w:rFonts w:ascii="Arial" w:hAnsi="Arial"/>
          <w:b w:val="0"/>
          <w:i w:val="0"/>
          <w:sz w:val="20"/>
        </w:rPr>
      </w:r>
    </w:p>
    <w:p>
      <w:pPr>
        <w:spacing w:before="0" w:after="280"/>
        <w:jc w:val="left"/>
      </w:pPr>
      <w:r>
        <w:rPr>
          <w:rFonts w:ascii="Arial" w:hAnsi="Arial"/>
          <w:b w:val="0"/>
          <w:i w:val="0"/>
          <w:sz w:val="20"/>
        </w:rPr>
        <w:t>Agreed and accepted on behalf of the parties: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76"/>
        <w:gridCol w:w="4176"/>
      </w:tblGrid>
      <w:tr>
        <w:tc>
          <w:tcPr>
            <w:tcW w:type="dxa" w:w="4320"/>
            <w:tcBdr>
              <w:top w:val="none"/>
              <w:left w:val="none"/>
              <w:bottom w:val="none"/>
              <w:right w:val="none"/>
            </w:tcBdr>
          </w:tcPr>
          <w:p>
            <w:pPr>
              <w:spacing w:before="80"/>
            </w:pPr>
            <w:r>
              <w:rPr>
                <w:rFonts w:ascii="Arial" w:hAnsi="Arial"/>
                <w:b/>
                <w:i w:val="0"/>
                <w:sz w:val="19"/>
              </w:rPr>
              <w:t>NOVABRIDGE FINANCIAL SERVICES PVT. LTD.</w:t>
            </w:r>
          </w:p>
        </w:tc>
        <w:tc>
          <w:tcPr>
            <w:tcW w:type="dxa" w:w="4320"/>
            <w:tcBdr>
              <w:top w:val="none"/>
              <w:left w:val="none"/>
              <w:bottom w:val="none"/>
              <w:right w:val="none"/>
            </w:tcBdr>
          </w:tcPr>
          <w:p>
            <w:pPr>
              <w:spacing w:before="80"/>
            </w:pPr>
            <w:r>
              <w:rPr>
                <w:rFonts w:ascii="Arial" w:hAnsi="Arial"/>
                <w:b/>
                <w:i w:val="0"/>
                <w:sz w:val="19"/>
              </w:rPr>
              <w:t>ENTENTIA AI SOLUTIONS PVT. LTD.</w:t>
            </w:r>
          </w:p>
        </w:tc>
      </w:tr>
      <w:tr>
        <w:tc>
          <w:tcPr>
            <w:tcW w:type="dxa" w:w="4320"/>
            <w:tcBdr>
              <w:top w:val="none"/>
              <w:left w:val="none"/>
              <w:bottom w:val="none"/>
              <w:right w:val="none"/>
            </w:tcBdr>
          </w:tcPr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sz w:val="19"/>
              </w:rPr>
              <w:t>Signed: ______________________________</w:t>
            </w:r>
          </w:p>
        </w:tc>
        <w:tc>
          <w:tcPr>
            <w:tcW w:type="dxa" w:w="4320"/>
            <w:tcBdr>
              <w:top w:val="none"/>
              <w:left w:val="none"/>
              <w:bottom w:val="none"/>
              <w:right w:val="none"/>
            </w:tcBdr>
          </w:tcPr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sz w:val="19"/>
              </w:rPr>
              <w:t>Signed: ______________________________</w:t>
            </w:r>
          </w:p>
        </w:tc>
      </w:tr>
      <w:tr>
        <w:tc>
          <w:tcPr>
            <w:tcW w:type="dxa" w:w="4320"/>
            <w:tcBdr>
              <w:top w:val="none"/>
              <w:left w:val="none"/>
              <w:bottom w:val="none"/>
              <w:right w:val="none"/>
            </w:tcBdr>
          </w:tcPr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sz w:val="19"/>
              </w:rPr>
              <w:t>Name: Ramesh Iyer</w:t>
            </w:r>
          </w:p>
        </w:tc>
        <w:tc>
          <w:tcPr>
            <w:tcW w:type="dxa" w:w="4320"/>
            <w:tcBdr>
              <w:top w:val="none"/>
              <w:left w:val="none"/>
              <w:bottom w:val="none"/>
              <w:right w:val="none"/>
            </w:tcBdr>
          </w:tcPr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sz w:val="19"/>
              </w:rPr>
              <w:t>Name: Nishant Shah</w:t>
            </w:r>
          </w:p>
        </w:tc>
      </w:tr>
      <w:tr>
        <w:tc>
          <w:tcPr>
            <w:tcW w:type="dxa" w:w="4320"/>
            <w:tcBdr>
              <w:top w:val="none"/>
              <w:left w:val="none"/>
              <w:bottom w:val="none"/>
              <w:right w:val="none"/>
            </w:tcBdr>
          </w:tcPr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sz w:val="19"/>
              </w:rPr>
              <w:t>Title: Chief Technology Officer</w:t>
            </w:r>
          </w:p>
        </w:tc>
        <w:tc>
          <w:tcPr>
            <w:tcW w:type="dxa" w:w="4320"/>
            <w:tcBdr>
              <w:top w:val="none"/>
              <w:left w:val="none"/>
              <w:bottom w:val="none"/>
              <w:right w:val="none"/>
            </w:tcBdr>
          </w:tcPr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sz w:val="19"/>
              </w:rPr>
              <w:t>Title: Co-Founder &amp; CEO</w:t>
            </w:r>
          </w:p>
        </w:tc>
      </w:tr>
      <w:tr>
        <w:tc>
          <w:tcPr>
            <w:tcW w:type="dxa" w:w="4320"/>
            <w:tcBdr>
              <w:top w:val="none"/>
              <w:left w:val="none"/>
              <w:bottom w:val="none"/>
              <w:right w:val="none"/>
            </w:tcBdr>
          </w:tcPr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sz w:val="19"/>
              </w:rPr>
              <w:t>Date: September 4, 2024</w:t>
            </w:r>
          </w:p>
        </w:tc>
        <w:tc>
          <w:tcPr>
            <w:tcW w:type="dxa" w:w="4320"/>
            <w:tcBdr>
              <w:top w:val="none"/>
              <w:left w:val="none"/>
              <w:bottom w:val="none"/>
              <w:right w:val="none"/>
            </w:tcBdr>
          </w:tcPr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sz w:val="19"/>
              </w:rPr>
              <w:t>Date: September 5, 2024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