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SQLValley Expenses — README</w:t>
      </w:r>
    </w:p>
    <w:p>
      <w:r>
        <w:rPr>
          <w:b/>
        </w:rPr>
        <w:t>Historically aligned neutral baseline • January 2023–April 2025</w:t>
      </w:r>
    </w:p>
    <w:p>
      <w:pPr>
        <w:pStyle w:val="Heading1"/>
      </w:pPr>
      <w:r>
        <w:t>1. Table purpose</w:t>
      </w:r>
    </w:p>
    <w:p>
      <w:r>
        <w:t>The expenses table records non-payroll operating expenditure. The data is designed to reflect HeriShare's changing scale, organization and business model through ordinary spending patterns rather than explicit storyline labels.</w:t>
      </w:r>
    </w:p>
    <w:p>
      <w:r>
        <w:rPr>
          <w:rFonts w:ascii="Consolas" w:hAnsi="Consolas"/>
          <w:sz w:val="17"/>
        </w:rPr>
        <w:t>expenses(exp_id, amount, d_id, description, date, requested_by, approved_by)</w:t>
      </w:r>
    </w:p>
    <w:p>
      <w:r>
        <w:t>The regenerated baseline contains 1,708 expense rows. Salaries remain in contracts and are not duplicated here.</w:t>
      </w:r>
    </w:p>
    <w:p>
      <w:pPr>
        <w:pStyle w:val="Heading1"/>
      </w:pPr>
      <w:r>
        <w:t>2. Historical alignment rules</w:t>
      </w:r>
    </w:p>
    <w:p>
      <w:pPr>
        <w:ind w:left="230" w:hanging="173"/>
      </w:pPr>
      <w:r>
        <w:rPr>
          <w:b/>
        </w:rPr>
        <w:t xml:space="preserve">• </w:t>
      </w:r>
      <w:r>
        <w:t>Before 23 June 2023, HeriShare has no formal departments or employees. d_id, requested_by and approved_by are therefore NULL for founder-era expenses.</w:t>
      </w:r>
    </w:p>
    <w:p>
      <w:pPr>
        <w:ind w:left="230" w:hanging="173"/>
      </w:pPr>
      <w:r>
        <w:rPr>
          <w:b/>
        </w:rPr>
        <w:t xml:space="preserve">• </w:t>
      </w:r>
      <w:r>
        <w:t>Department IDs appear only after the department exists in the canonical 14-department timeline.</w:t>
      </w:r>
    </w:p>
    <w:p>
      <w:pPr>
        <w:ind w:left="230" w:hanging="173"/>
      </w:pPr>
      <w:r>
        <w:rPr>
          <w:b/>
        </w:rPr>
        <w:t xml:space="preserve">• </w:t>
      </w:r>
      <w:r>
        <w:t>Requesters and approvers use exact 8-digit employee IDs from the current employees dataset and cannot appear before hire or after employment ends.</w:t>
      </w:r>
    </w:p>
    <w:p>
      <w:pPr>
        <w:ind w:left="230" w:hanging="173"/>
      </w:pPr>
      <w:r>
        <w:rPr>
          <w:b/>
        </w:rPr>
        <w:t xml:space="preserve">• </w:t>
      </w:r>
      <w:r>
        <w:t>PTO, sick leave, parental leave and sabbatical periods are excluded from employee availability for generated requests/approvals.</w:t>
      </w:r>
    </w:p>
    <w:p>
      <w:pPr>
        <w:ind w:left="230" w:hanging="173"/>
      </w:pPr>
      <w:r>
        <w:rPr>
          <w:b/>
        </w:rPr>
        <w:t xml:space="preserve">• </w:t>
      </w:r>
      <w:r>
        <w:t>Current allocations are mapped back to the 14 canonical department IDs, with historical overrides for known transfers and temporary founder oversight.</w:t>
      </w:r>
    </w:p>
    <w:p>
      <w:pPr>
        <w:ind w:left="230" w:hanging="173"/>
      </w:pPr>
      <w:r>
        <w:rPr>
          <w:b/>
        </w:rPr>
        <w:t xml:space="preserve">• </w:t>
      </w:r>
      <w:r>
        <w:t>No self-approved expenses are generated.</w:t>
      </w:r>
    </w:p>
    <w:p>
      <w:pPr>
        <w:ind w:left="230" w:hanging="173"/>
      </w:pPr>
      <w:r>
        <w:rPr>
          <w:b/>
        </w:rPr>
        <w:t xml:space="preserve">• </w:t>
      </w:r>
      <w:r>
        <w:t>The baseline contains no deliberate fraud, threshold avoidance, duplicate-invoice scheme or exercise-specific anomaly.</w:t>
      </w:r>
    </w:p>
    <w:p>
      <w:pPr>
        <w:pStyle w:val="Heading1"/>
      </w:pPr>
      <w:r>
        <w:t>3. Department activation</w:t>
      </w:r>
    </w:p>
    <w:tbl>
      <w:tblPr>
        <w:tblStyle w:val="TableGrid"/>
        <w:tblW w:type="auto" w:w="0"/>
        <w:jc w:val="center"/>
        <w:tblLook w:firstColumn="1" w:firstRow="1" w:lastColumn="0" w:lastRow="0" w:noHBand="0" w:noVBand="1" w:val="04A0"/>
      </w:tblPr>
      <w:tblGrid>
        <w:gridCol w:w="3456"/>
        <w:gridCol w:w="3456"/>
        <w:gridCol w:w="3456"/>
      </w:tblGrid>
      <w:tr>
        <w:trPr>
          <w:cantSplit/>
        </w:trPr>
        <w:tc>
          <w:tcPr>
            <w:tcW w:type="dxa" w:w="3456"/>
            <w:vAlign w:val="center"/>
          </w:tcPr>
          <w:p>
            <w:pPr>
              <w:spacing w:before="0" w:after="0"/>
            </w:pPr>
            <w:r>
              <w:rPr>
                <w:sz w:val="16"/>
              </w:rPr>
              <w:t>Date</w:t>
            </w:r>
          </w:p>
        </w:tc>
        <w:tc>
          <w:tcPr>
            <w:tcW w:type="dxa" w:w="3456"/>
            <w:vAlign w:val="center"/>
          </w:tcPr>
          <w:p>
            <w:pPr>
              <w:spacing w:before="0" w:after="0"/>
            </w:pPr>
            <w:r>
              <w:rPr>
                <w:sz w:val="16"/>
              </w:rPr>
              <w:t>New valid d_id values</w:t>
            </w:r>
          </w:p>
        </w:tc>
        <w:tc>
          <w:tcPr>
            <w:tcW w:type="dxa" w:w="3456"/>
            <w:vAlign w:val="center"/>
          </w:tcPr>
          <w:p>
            <w:pPr>
              <w:spacing w:before="0" w:after="0"/>
            </w:pPr>
            <w:r>
              <w:rPr>
                <w:sz w:val="16"/>
              </w:rPr>
              <w:t>Meaning</w:t>
            </w:r>
          </w:p>
        </w:tc>
      </w:tr>
      <w:tr>
        <w:trPr>
          <w:cantSplit/>
        </w:trPr>
        <w:tc>
          <w:tcPr>
            <w:tcW w:type="dxa" w:w="3456"/>
            <w:vAlign w:val="center"/>
          </w:tcPr>
          <w:p>
            <w:pPr>
              <w:spacing w:before="0" w:after="0"/>
            </w:pPr>
            <w:r>
              <w:rPr>
                <w:sz w:val="16"/>
              </w:rPr>
              <w:t>Before 23 Jun 2023</w:t>
            </w:r>
          </w:p>
        </w:tc>
        <w:tc>
          <w:tcPr>
            <w:tcW w:type="dxa" w:w="3456"/>
            <w:vAlign w:val="center"/>
          </w:tcPr>
          <w:p>
            <w:pPr>
              <w:spacing w:before="0" w:after="0"/>
            </w:pPr>
            <w:r>
              <w:rPr>
                <w:sz w:val="16"/>
              </w:rPr>
              <w:t>None</w:t>
            </w:r>
          </w:p>
        </w:tc>
        <w:tc>
          <w:tcPr>
            <w:tcW w:type="dxa" w:w="3456"/>
            <w:vAlign w:val="center"/>
          </w:tcPr>
          <w:p>
            <w:pPr>
              <w:spacing w:before="0" w:after="0"/>
            </w:pPr>
            <w:r>
              <w:rPr>
                <w:sz w:val="16"/>
              </w:rPr>
              <w:t>Founder expenses only; all FK fields NULL</w:t>
            </w:r>
          </w:p>
        </w:tc>
      </w:tr>
      <w:tr>
        <w:trPr>
          <w:cantSplit/>
        </w:trPr>
        <w:tc>
          <w:tcPr>
            <w:tcW w:type="dxa" w:w="3456"/>
            <w:vAlign w:val="center"/>
          </w:tcPr>
          <w:p>
            <w:pPr>
              <w:spacing w:before="0" w:after="0"/>
            </w:pPr>
            <w:r>
              <w:rPr>
                <w:sz w:val="16"/>
              </w:rPr>
              <w:t>23 Jun 2023</w:t>
            </w:r>
          </w:p>
        </w:tc>
        <w:tc>
          <w:tcPr>
            <w:tcW w:type="dxa" w:w="3456"/>
            <w:vAlign w:val="center"/>
          </w:tcPr>
          <w:p>
            <w:pPr>
              <w:spacing w:before="0" w:after="0"/>
            </w:pPr>
            <w:r>
              <w:rPr>
                <w:sz w:val="16"/>
              </w:rPr>
              <w:t>1000, 2100</w:t>
            </w:r>
          </w:p>
        </w:tc>
        <w:tc>
          <w:tcPr>
            <w:tcW w:type="dxa" w:w="3456"/>
            <w:vAlign w:val="center"/>
          </w:tcPr>
          <w:p>
            <w:pPr>
              <w:spacing w:before="0" w:after="0"/>
            </w:pPr>
            <w:r>
              <w:rPr>
                <w:sz w:val="16"/>
              </w:rPr>
              <w:t>Executive; Product and Software Engineering</w:t>
            </w:r>
          </w:p>
        </w:tc>
      </w:tr>
      <w:tr>
        <w:trPr>
          <w:cantSplit/>
        </w:trPr>
        <w:tc>
          <w:tcPr>
            <w:tcW w:type="dxa" w:w="3456"/>
            <w:vAlign w:val="center"/>
          </w:tcPr>
          <w:p>
            <w:pPr>
              <w:spacing w:before="0" w:after="0"/>
            </w:pPr>
            <w:r>
              <w:rPr>
                <w:sz w:val="16"/>
              </w:rPr>
              <w:t>3 Jul 2023</w:t>
            </w:r>
          </w:p>
        </w:tc>
        <w:tc>
          <w:tcPr>
            <w:tcW w:type="dxa" w:w="3456"/>
            <w:vAlign w:val="center"/>
          </w:tcPr>
          <w:p>
            <w:pPr>
              <w:spacing w:before="0" w:after="0"/>
            </w:pPr>
            <w:r>
              <w:rPr>
                <w:sz w:val="16"/>
              </w:rPr>
              <w:t>+ 7100</w:t>
            </w:r>
          </w:p>
        </w:tc>
        <w:tc>
          <w:tcPr>
            <w:tcW w:type="dxa" w:w="3456"/>
            <w:vAlign w:val="center"/>
          </w:tcPr>
          <w:p>
            <w:pPr>
              <w:spacing w:before="0" w:after="0"/>
            </w:pPr>
            <w:r>
              <w:rPr>
                <w:sz w:val="16"/>
              </w:rPr>
              <w:t>Client Services</w:t>
            </w:r>
          </w:p>
        </w:tc>
      </w:tr>
      <w:tr>
        <w:trPr>
          <w:cantSplit/>
        </w:trPr>
        <w:tc>
          <w:tcPr>
            <w:tcW w:type="dxa" w:w="3456"/>
            <w:vAlign w:val="center"/>
          </w:tcPr>
          <w:p>
            <w:pPr>
              <w:spacing w:before="0" w:after="0"/>
            </w:pPr>
            <w:r>
              <w:rPr>
                <w:sz w:val="16"/>
              </w:rPr>
              <w:t>25 Aug 2023</w:t>
            </w:r>
          </w:p>
        </w:tc>
        <w:tc>
          <w:tcPr>
            <w:tcW w:type="dxa" w:w="3456"/>
            <w:vAlign w:val="center"/>
          </w:tcPr>
          <w:p>
            <w:pPr>
              <w:spacing w:before="0" w:after="0"/>
            </w:pPr>
            <w:r>
              <w:rPr>
                <w:sz w:val="16"/>
              </w:rPr>
              <w:t>+ 3100, 4100</w:t>
            </w:r>
          </w:p>
        </w:tc>
        <w:tc>
          <w:tcPr>
            <w:tcW w:type="dxa" w:w="3456"/>
            <w:vAlign w:val="center"/>
          </w:tcPr>
          <w:p>
            <w:pPr>
              <w:spacing w:before="0" w:after="0"/>
            </w:pPr>
            <w:r>
              <w:rPr>
                <w:sz w:val="16"/>
              </w:rPr>
              <w:t>Institutional Partnerships; Asset Operations</w:t>
            </w:r>
          </w:p>
        </w:tc>
      </w:tr>
      <w:tr>
        <w:trPr>
          <w:cantSplit/>
        </w:trPr>
        <w:tc>
          <w:tcPr>
            <w:tcW w:type="dxa" w:w="3456"/>
            <w:vAlign w:val="center"/>
          </w:tcPr>
          <w:p>
            <w:pPr>
              <w:spacing w:before="0" w:after="0"/>
            </w:pPr>
            <w:r>
              <w:rPr>
                <w:sz w:val="16"/>
              </w:rPr>
              <w:t>5 Oct 2023</w:t>
            </w:r>
          </w:p>
        </w:tc>
        <w:tc>
          <w:tcPr>
            <w:tcW w:type="dxa" w:w="3456"/>
            <w:vAlign w:val="center"/>
          </w:tcPr>
          <w:p>
            <w:pPr>
              <w:spacing w:before="0" w:after="0"/>
            </w:pPr>
            <w:r>
              <w:rPr>
                <w:sz w:val="16"/>
              </w:rPr>
              <w:t>+ 2300, 4200, 6100</w:t>
            </w:r>
          </w:p>
        </w:tc>
        <w:tc>
          <w:tcPr>
            <w:tcW w:type="dxa" w:w="3456"/>
            <w:vAlign w:val="center"/>
          </w:tcPr>
          <w:p>
            <w:pPr>
              <w:spacing w:before="0" w:after="0"/>
            </w:pPr>
            <w:r>
              <w:rPr>
                <w:sz w:val="16"/>
              </w:rPr>
              <w:t>Infrastructure/Security; Logistics/Custody; Finance/Transaction Ops</w:t>
            </w:r>
          </w:p>
        </w:tc>
      </w:tr>
      <w:tr>
        <w:trPr>
          <w:cantSplit/>
        </w:trPr>
        <w:tc>
          <w:tcPr>
            <w:tcW w:type="dxa" w:w="3456"/>
            <w:vAlign w:val="center"/>
          </w:tcPr>
          <w:p>
            <w:pPr>
              <w:spacing w:before="0" w:after="0"/>
            </w:pPr>
            <w:r>
              <w:rPr>
                <w:sz w:val="16"/>
              </w:rPr>
              <w:t>19 Nov 2023</w:t>
            </w:r>
          </w:p>
        </w:tc>
        <w:tc>
          <w:tcPr>
            <w:tcW w:type="dxa" w:w="3456"/>
            <w:vAlign w:val="center"/>
          </w:tcPr>
          <w:p>
            <w:pPr>
              <w:spacing w:before="0" w:after="0"/>
            </w:pPr>
            <w:r>
              <w:rPr>
                <w:sz w:val="16"/>
              </w:rPr>
              <w:t>+ 2200, 3200, 5100, 5200, 6200, 7200</w:t>
            </w:r>
          </w:p>
        </w:tc>
        <w:tc>
          <w:tcPr>
            <w:tcW w:type="dxa" w:w="3456"/>
            <w:vAlign w:val="center"/>
          </w:tcPr>
          <w:p>
            <w:pPr>
              <w:spacing w:before="0" w:after="0"/>
            </w:pPr>
            <w:r>
              <w:rPr>
                <w:sz w:val="16"/>
              </w:rPr>
              <w:t>Full 14-department structure</w:t>
            </w:r>
          </w:p>
        </w:tc>
      </w:tr>
    </w:tbl>
    <w:p>
      <w:r>
        <w:t>Historical renames preserve d_id: 4100 Asset Operations → Asset Research and Onboarding (5 Oct 2023); 3100 Institutional Partnerships → Seller Partnerships (25 Aug 2024); 3200 Investor and Buyer Relations → Private Sales and Buyer Relations (25 Aug 2024); 5200 Compliance and Trust → Compliance and Investigations (25 Aug 2024).</w:t>
      </w:r>
    </w:p>
    <w:p>
      <w:pPr>
        <w:pStyle w:val="Heading1"/>
      </w:pPr>
      <w:r>
        <w:t>4. Business-state behavior</w:t>
      </w:r>
    </w:p>
    <w:tbl>
      <w:tblPr>
        <w:tblStyle w:val="TableGrid"/>
        <w:tblW w:type="auto" w:w="0"/>
        <w:jc w:val="center"/>
        <w:tblLook w:firstColumn="1" w:firstRow="1" w:lastColumn="0" w:lastRow="0" w:noHBand="0" w:noVBand="1" w:val="04A0"/>
      </w:tblPr>
      <w:tblGrid>
        <w:gridCol w:w="5184"/>
        <w:gridCol w:w="5184"/>
      </w:tblGrid>
      <w:tr>
        <w:trPr>
          <w:cantSplit/>
        </w:trPr>
        <w:tc>
          <w:tcPr>
            <w:tcW w:type="dxa" w:w="5184"/>
          </w:tcPr>
          <w:p>
            <w:pPr>
              <w:spacing w:before="0" w:after="0"/>
            </w:pPr>
            <w:r>
              <w:rPr>
                <w:sz w:val="16"/>
              </w:rPr>
              <w:t>Period</w:t>
            </w:r>
          </w:p>
        </w:tc>
        <w:tc>
          <w:tcPr>
            <w:tcW w:type="dxa" w:w="5184"/>
          </w:tcPr>
          <w:p>
            <w:pPr>
              <w:spacing w:before="0" w:after="0"/>
            </w:pPr>
            <w:r>
              <w:rPr>
                <w:sz w:val="16"/>
              </w:rPr>
              <w:t>Expense character</w:t>
            </w:r>
          </w:p>
        </w:tc>
      </w:tr>
      <w:tr>
        <w:trPr>
          <w:cantSplit/>
        </w:trPr>
        <w:tc>
          <w:tcPr>
            <w:tcW w:type="dxa" w:w="5184"/>
          </w:tcPr>
          <w:p>
            <w:pPr>
              <w:spacing w:before="0" w:after="0"/>
            </w:pPr>
            <w:r>
              <w:rPr>
                <w:sz w:val="16"/>
              </w:rPr>
              <w:t>Jan–22 Jun 2023</w:t>
            </w:r>
          </w:p>
        </w:tc>
        <w:tc>
          <w:tcPr>
            <w:tcW w:type="dxa" w:w="5184"/>
          </w:tcPr>
          <w:p>
            <w:pPr>
              <w:spacing w:before="0" w:after="0"/>
            </w:pPr>
            <w:r>
              <w:rPr>
                <w:sz w:val="16"/>
              </w:rPr>
              <w:t>Sparse founder purchases; casual descriptions; no department or approval structure.</w:t>
            </w:r>
          </w:p>
        </w:tc>
      </w:tr>
      <w:tr>
        <w:trPr>
          <w:cantSplit/>
        </w:trPr>
        <w:tc>
          <w:tcPr>
            <w:tcW w:type="dxa" w:w="5184"/>
          </w:tcPr>
          <w:p>
            <w:pPr>
              <w:spacing w:before="0" w:after="0"/>
            </w:pPr>
            <w:r>
              <w:rPr>
                <w:sz w:val="16"/>
              </w:rPr>
              <w:t>23 Jun–18 Nov 2023</w:t>
            </w:r>
          </w:p>
        </w:tc>
        <w:tc>
          <w:tcPr>
            <w:tcW w:type="dxa" w:w="5184"/>
          </w:tcPr>
          <w:p>
            <w:pPr>
              <w:spacing w:before="0" w:after="0"/>
            </w:pPr>
            <w:r>
              <w:rPr>
                <w:sz w:val="16"/>
              </w:rPr>
              <w:t>Formal organization develops gradually. Costs move into departments only as those teams are created.</w:t>
            </w:r>
          </w:p>
        </w:tc>
      </w:tr>
      <w:tr>
        <w:trPr>
          <w:cantSplit/>
        </w:trPr>
        <w:tc>
          <w:tcPr>
            <w:tcW w:type="dxa" w:w="5184"/>
          </w:tcPr>
          <w:p>
            <w:pPr>
              <w:spacing w:before="0" w:after="0"/>
            </w:pPr>
            <w:r>
              <w:rPr>
                <w:sz w:val="16"/>
              </w:rPr>
              <w:t>19 Nov 2023–10 May 2024</w:t>
            </w:r>
          </w:p>
        </w:tc>
        <w:tc>
          <w:tcPr>
            <w:tcW w:type="dxa" w:w="5184"/>
          </w:tcPr>
          <w:p>
            <w:pPr>
              <w:spacing w:before="0" w:after="0"/>
            </w:pPr>
            <w:r>
              <w:rPr>
                <w:sz w:val="16"/>
              </w:rPr>
              <w:t>Full department structure, rapid hiring, professional descriptions and broad recurring operating spend.</w:t>
            </w:r>
          </w:p>
        </w:tc>
      </w:tr>
      <w:tr>
        <w:trPr>
          <w:cantSplit/>
        </w:trPr>
        <w:tc>
          <w:tcPr>
            <w:tcW w:type="dxa" w:w="5184"/>
          </w:tcPr>
          <w:p>
            <w:pPr>
              <w:spacing w:before="0" w:after="0"/>
            </w:pPr>
            <w:r>
              <w:rPr>
                <w:sz w:val="16"/>
              </w:rPr>
              <w:t>11 May–8 Jun 2024</w:t>
            </w:r>
          </w:p>
        </w:tc>
        <w:tc>
          <w:tcPr>
            <w:tcW w:type="dxa" w:w="5184"/>
          </w:tcPr>
          <w:p>
            <w:pPr>
              <w:spacing w:before="0" w:after="0"/>
            </w:pPr>
            <w:r>
              <w:rPr>
                <w:sz w:val="16"/>
              </w:rPr>
              <w:t>Spending shifts toward Legal, Compliance, Client Services and Communications while recruitment/expansion slows.</w:t>
            </w:r>
          </w:p>
        </w:tc>
      </w:tr>
      <w:tr>
        <w:trPr>
          <w:cantSplit/>
        </w:trPr>
        <w:tc>
          <w:tcPr>
            <w:tcW w:type="dxa" w:w="5184"/>
          </w:tcPr>
          <w:p>
            <w:pPr>
              <w:spacing w:before="0" w:after="0"/>
            </w:pPr>
            <w:r>
              <w:rPr>
                <w:sz w:val="16"/>
              </w:rPr>
              <w:t>9 Jun–24 Aug 2024</w:t>
            </w:r>
          </w:p>
        </w:tc>
        <w:tc>
          <w:tcPr>
            <w:tcW w:type="dxa" w:w="5184"/>
          </w:tcPr>
          <w:p>
            <w:pPr>
              <w:spacing w:before="0" w:after="0"/>
            </w:pPr>
            <w:r>
              <w:rPr>
                <w:sz w:val="16"/>
              </w:rPr>
              <w:t>Sharp contraction after shutdown. Essential legal, custody, insurance, security and accounting costs remain.</w:t>
            </w:r>
          </w:p>
        </w:tc>
      </w:tr>
      <w:tr>
        <w:trPr>
          <w:cantSplit/>
        </w:trPr>
        <w:tc>
          <w:tcPr>
            <w:tcW w:type="dxa" w:w="5184"/>
          </w:tcPr>
          <w:p>
            <w:pPr>
              <w:spacing w:before="0" w:after="0"/>
            </w:pPr>
            <w:r>
              <w:rPr>
                <w:sz w:val="16"/>
              </w:rPr>
              <w:t>25 Aug–28 Sep 2024</w:t>
            </w:r>
          </w:p>
        </w:tc>
        <w:tc>
          <w:tcPr>
            <w:tcW w:type="dxa" w:w="5184"/>
          </w:tcPr>
          <w:p>
            <w:pPr>
              <w:spacing w:before="0" w:after="0"/>
            </w:pPr>
            <w:r>
              <w:rPr>
                <w:sz w:val="16"/>
              </w:rPr>
              <w:t>Selective restructuring spend: systems, data, legal, compliance and marketplace preparation.</w:t>
            </w:r>
          </w:p>
        </w:tc>
      </w:tr>
      <w:tr>
        <w:trPr>
          <w:cantSplit/>
        </w:trPr>
        <w:tc>
          <w:tcPr>
            <w:tcW w:type="dxa" w:w="5184"/>
          </w:tcPr>
          <w:p>
            <w:pPr>
              <w:spacing w:before="0" w:after="0"/>
            </w:pPr>
            <w:r>
              <w:rPr>
                <w:sz w:val="16"/>
              </w:rPr>
              <w:t>29 Sep 2024–Apr 2025</w:t>
            </w:r>
          </w:p>
        </w:tc>
        <w:tc>
          <w:tcPr>
            <w:tcW w:type="dxa" w:w="5184"/>
          </w:tcPr>
          <w:p>
            <w:pPr>
              <w:spacing w:before="0" w:after="0"/>
            </w:pPr>
            <w:r>
              <w:rPr>
                <w:sz w:val="16"/>
              </w:rPr>
              <w:t>Private-marketplace recovery: seller/buyer operations, provenance, KYC, secure shipping, custody and transaction operations grow.</w:t>
            </w:r>
          </w:p>
        </w:tc>
      </w:tr>
    </w:tbl>
    <w:p>
      <w:pPr>
        <w:pStyle w:val="Heading1"/>
      </w:pPr>
      <w:r>
        <w:t>5. Description style</w:t>
      </w:r>
    </w:p>
    <w:p>
      <w:r>
        <w:t>Descriptions intentionally become more professional over time. Early rows include entries such as “hosting”, “figma monthly” and “boxes for Northbridge”. Mature rows use language such as “Cloud infrastructure”, “Asset condition assessment” and “External accounting services”. Crisis-period descriptions stay professional but shift toward ownership review, investigation, complaint handling and essential continuity. Post-pivot descriptions use private-market language such as “Seller provenance review”, “Private client travel” and “Secure custody services”.</w:t>
      </w:r>
    </w:p>
    <w:p>
      <w:pPr>
        <w:pStyle w:val="Heading1"/>
      </w:pPr>
      <w:r>
        <w:t>6. Generated volume</w:t>
      </w:r>
    </w:p>
    <w:tbl>
      <w:tblPr>
        <w:tblStyle w:val="TableGrid"/>
        <w:tblW w:type="auto" w:w="0"/>
        <w:jc w:val="center"/>
        <w:tblLook w:firstColumn="1" w:firstRow="1" w:lastColumn="0" w:lastRow="0" w:noHBand="0" w:noVBand="1" w:val="04A0"/>
      </w:tblPr>
      <w:tblGrid>
        <w:gridCol w:w="3456"/>
        <w:gridCol w:w="3456"/>
        <w:gridCol w:w="3456"/>
      </w:tblGrid>
      <w:tr>
        <w:trPr>
          <w:cantSplit/>
        </w:trPr>
        <w:tc>
          <w:tcPr>
            <w:tcW w:type="dxa" w:w="3456"/>
          </w:tcPr>
          <w:p>
            <w:pPr>
              <w:spacing w:before="0" w:after="0"/>
            </w:pPr>
            <w:r>
              <w:rPr>
                <w:sz w:val="16"/>
              </w:rPr>
              <w:t>Month</w:t>
            </w:r>
          </w:p>
        </w:tc>
        <w:tc>
          <w:tcPr>
            <w:tcW w:type="dxa" w:w="3456"/>
          </w:tcPr>
          <w:p>
            <w:pPr>
              <w:spacing w:before="0" w:after="0"/>
            </w:pPr>
            <w:r>
              <w:rPr>
                <w:sz w:val="16"/>
              </w:rPr>
              <w:t>Rows</w:t>
            </w:r>
          </w:p>
        </w:tc>
        <w:tc>
          <w:tcPr>
            <w:tcW w:type="dxa" w:w="3456"/>
          </w:tcPr>
          <w:p>
            <w:pPr>
              <w:spacing w:before="0" w:after="0"/>
            </w:pPr>
            <w:r>
              <w:rPr>
                <w:sz w:val="16"/>
              </w:rPr>
              <w:t>Expense total</w:t>
            </w:r>
          </w:p>
        </w:tc>
      </w:tr>
      <w:tr>
        <w:trPr>
          <w:cantSplit/>
        </w:trPr>
        <w:tc>
          <w:tcPr>
            <w:tcW w:type="dxa" w:w="3456"/>
          </w:tcPr>
          <w:p>
            <w:pPr>
              <w:spacing w:before="0" w:after="0"/>
            </w:pPr>
            <w:r>
              <w:rPr>
                <w:sz w:val="16"/>
              </w:rPr>
              <w:t>2023-01</w:t>
            </w:r>
          </w:p>
        </w:tc>
        <w:tc>
          <w:tcPr>
            <w:tcW w:type="dxa" w:w="3456"/>
          </w:tcPr>
          <w:p>
            <w:pPr>
              <w:spacing w:before="0" w:after="0"/>
            </w:pPr>
            <w:r>
              <w:rPr>
                <w:sz w:val="16"/>
              </w:rPr>
              <w:t>5</w:t>
            </w:r>
          </w:p>
        </w:tc>
        <w:tc>
          <w:tcPr>
            <w:tcW w:type="dxa" w:w="3456"/>
          </w:tcPr>
          <w:p>
            <w:pPr>
              <w:spacing w:before="0" w:after="0"/>
            </w:pPr>
            <w:r>
              <w:rPr>
                <w:sz w:val="16"/>
              </w:rPr>
              <w:t>$292</w:t>
            </w:r>
          </w:p>
        </w:tc>
      </w:tr>
      <w:tr>
        <w:trPr>
          <w:cantSplit/>
        </w:trPr>
        <w:tc>
          <w:tcPr>
            <w:tcW w:type="dxa" w:w="3456"/>
          </w:tcPr>
          <w:p>
            <w:pPr>
              <w:spacing w:before="0" w:after="0"/>
            </w:pPr>
            <w:r>
              <w:rPr>
                <w:sz w:val="16"/>
              </w:rPr>
              <w:t>2023-06</w:t>
            </w:r>
          </w:p>
        </w:tc>
        <w:tc>
          <w:tcPr>
            <w:tcW w:type="dxa" w:w="3456"/>
          </w:tcPr>
          <w:p>
            <w:pPr>
              <w:spacing w:before="0" w:after="0"/>
            </w:pPr>
            <w:r>
              <w:rPr>
                <w:sz w:val="16"/>
              </w:rPr>
              <w:t>28</w:t>
            </w:r>
          </w:p>
        </w:tc>
        <w:tc>
          <w:tcPr>
            <w:tcW w:type="dxa" w:w="3456"/>
          </w:tcPr>
          <w:p>
            <w:pPr>
              <w:spacing w:before="0" w:after="0"/>
            </w:pPr>
            <w:r>
              <w:rPr>
                <w:sz w:val="16"/>
              </w:rPr>
              <w:t>$44,660</w:t>
            </w:r>
          </w:p>
        </w:tc>
      </w:tr>
      <w:tr>
        <w:trPr>
          <w:cantSplit/>
        </w:trPr>
        <w:tc>
          <w:tcPr>
            <w:tcW w:type="dxa" w:w="3456"/>
          </w:tcPr>
          <w:p>
            <w:pPr>
              <w:spacing w:before="0" w:after="0"/>
            </w:pPr>
            <w:r>
              <w:rPr>
                <w:sz w:val="16"/>
              </w:rPr>
              <w:t>2023-11</w:t>
            </w:r>
          </w:p>
        </w:tc>
        <w:tc>
          <w:tcPr>
            <w:tcW w:type="dxa" w:w="3456"/>
          </w:tcPr>
          <w:p>
            <w:pPr>
              <w:spacing w:before="0" w:after="0"/>
            </w:pPr>
            <w:r>
              <w:rPr>
                <w:sz w:val="16"/>
              </w:rPr>
              <w:t>75</w:t>
            </w:r>
          </w:p>
        </w:tc>
        <w:tc>
          <w:tcPr>
            <w:tcW w:type="dxa" w:w="3456"/>
          </w:tcPr>
          <w:p>
            <w:pPr>
              <w:spacing w:before="0" w:after="0"/>
            </w:pPr>
            <w:r>
              <w:rPr>
                <w:sz w:val="16"/>
              </w:rPr>
              <w:t>$416,686</w:t>
            </w:r>
          </w:p>
        </w:tc>
      </w:tr>
      <w:tr>
        <w:trPr>
          <w:cantSplit/>
        </w:trPr>
        <w:tc>
          <w:tcPr>
            <w:tcW w:type="dxa" w:w="3456"/>
          </w:tcPr>
          <w:p>
            <w:pPr>
              <w:spacing w:before="0" w:after="0"/>
            </w:pPr>
            <w:r>
              <w:rPr>
                <w:sz w:val="16"/>
              </w:rPr>
              <w:t>2024-05</w:t>
            </w:r>
          </w:p>
        </w:tc>
        <w:tc>
          <w:tcPr>
            <w:tcW w:type="dxa" w:w="3456"/>
          </w:tcPr>
          <w:p>
            <w:pPr>
              <w:spacing w:before="0" w:after="0"/>
            </w:pPr>
            <w:r>
              <w:rPr>
                <w:sz w:val="16"/>
              </w:rPr>
              <w:t>110</w:t>
            </w:r>
          </w:p>
        </w:tc>
        <w:tc>
          <w:tcPr>
            <w:tcW w:type="dxa" w:w="3456"/>
          </w:tcPr>
          <w:p>
            <w:pPr>
              <w:spacing w:before="0" w:after="0"/>
            </w:pPr>
            <w:r>
              <w:rPr>
                <w:sz w:val="16"/>
              </w:rPr>
              <w:t>$889,892</w:t>
            </w:r>
          </w:p>
        </w:tc>
      </w:tr>
      <w:tr>
        <w:trPr>
          <w:cantSplit/>
        </w:trPr>
        <w:tc>
          <w:tcPr>
            <w:tcW w:type="dxa" w:w="3456"/>
          </w:tcPr>
          <w:p>
            <w:pPr>
              <w:spacing w:before="0" w:after="0"/>
            </w:pPr>
            <w:r>
              <w:rPr>
                <w:sz w:val="16"/>
              </w:rPr>
              <w:t>2024-07</w:t>
            </w:r>
          </w:p>
        </w:tc>
        <w:tc>
          <w:tcPr>
            <w:tcW w:type="dxa" w:w="3456"/>
          </w:tcPr>
          <w:p>
            <w:pPr>
              <w:spacing w:before="0" w:after="0"/>
            </w:pPr>
            <w:r>
              <w:rPr>
                <w:sz w:val="16"/>
              </w:rPr>
              <w:t>35</w:t>
            </w:r>
          </w:p>
        </w:tc>
        <w:tc>
          <w:tcPr>
            <w:tcW w:type="dxa" w:w="3456"/>
          </w:tcPr>
          <w:p>
            <w:pPr>
              <w:spacing w:before="0" w:after="0"/>
            </w:pPr>
            <w:r>
              <w:rPr>
                <w:sz w:val="16"/>
              </w:rPr>
              <w:t>$254,359</w:t>
            </w:r>
          </w:p>
        </w:tc>
      </w:tr>
      <w:tr>
        <w:trPr>
          <w:cantSplit/>
        </w:trPr>
        <w:tc>
          <w:tcPr>
            <w:tcW w:type="dxa" w:w="3456"/>
          </w:tcPr>
          <w:p>
            <w:pPr>
              <w:spacing w:before="0" w:after="0"/>
            </w:pPr>
            <w:r>
              <w:rPr>
                <w:sz w:val="16"/>
              </w:rPr>
              <w:t>2024-09</w:t>
            </w:r>
          </w:p>
        </w:tc>
        <w:tc>
          <w:tcPr>
            <w:tcW w:type="dxa" w:w="3456"/>
          </w:tcPr>
          <w:p>
            <w:pPr>
              <w:spacing w:before="0" w:after="0"/>
            </w:pPr>
            <w:r>
              <w:rPr>
                <w:sz w:val="16"/>
              </w:rPr>
              <w:t>55</w:t>
            </w:r>
          </w:p>
        </w:tc>
        <w:tc>
          <w:tcPr>
            <w:tcW w:type="dxa" w:w="3456"/>
          </w:tcPr>
          <w:p>
            <w:pPr>
              <w:spacing w:before="0" w:after="0"/>
            </w:pPr>
            <w:r>
              <w:rPr>
                <w:sz w:val="16"/>
              </w:rPr>
              <w:t>$448,553</w:t>
            </w:r>
          </w:p>
        </w:tc>
      </w:tr>
      <w:tr>
        <w:trPr>
          <w:cantSplit/>
        </w:trPr>
        <w:tc>
          <w:tcPr>
            <w:tcW w:type="dxa" w:w="3456"/>
          </w:tcPr>
          <w:p>
            <w:pPr>
              <w:spacing w:before="0" w:after="0"/>
            </w:pPr>
            <w:r>
              <w:rPr>
                <w:sz w:val="16"/>
              </w:rPr>
              <w:t>2025-01</w:t>
            </w:r>
          </w:p>
        </w:tc>
        <w:tc>
          <w:tcPr>
            <w:tcW w:type="dxa" w:w="3456"/>
          </w:tcPr>
          <w:p>
            <w:pPr>
              <w:spacing w:before="0" w:after="0"/>
            </w:pPr>
            <w:r>
              <w:rPr>
                <w:sz w:val="16"/>
              </w:rPr>
              <w:t>85</w:t>
            </w:r>
          </w:p>
        </w:tc>
        <w:tc>
          <w:tcPr>
            <w:tcW w:type="dxa" w:w="3456"/>
          </w:tcPr>
          <w:p>
            <w:pPr>
              <w:spacing w:before="0" w:after="0"/>
            </w:pPr>
            <w:r>
              <w:rPr>
                <w:sz w:val="16"/>
              </w:rPr>
              <w:t>$742,380</w:t>
            </w:r>
          </w:p>
        </w:tc>
      </w:tr>
      <w:tr>
        <w:trPr>
          <w:cantSplit/>
        </w:trPr>
        <w:tc>
          <w:tcPr>
            <w:tcW w:type="dxa" w:w="3456"/>
          </w:tcPr>
          <w:p>
            <w:pPr>
              <w:spacing w:before="0" w:after="0"/>
            </w:pPr>
            <w:r>
              <w:rPr>
                <w:sz w:val="16"/>
              </w:rPr>
              <w:t>2025-04</w:t>
            </w:r>
          </w:p>
        </w:tc>
        <w:tc>
          <w:tcPr>
            <w:tcW w:type="dxa" w:w="3456"/>
          </w:tcPr>
          <w:p>
            <w:pPr>
              <w:spacing w:before="0" w:after="0"/>
            </w:pPr>
            <w:r>
              <w:rPr>
                <w:sz w:val="16"/>
              </w:rPr>
              <w:t>100</w:t>
            </w:r>
          </w:p>
        </w:tc>
        <w:tc>
          <w:tcPr>
            <w:tcW w:type="dxa" w:w="3456"/>
          </w:tcPr>
          <w:p>
            <w:pPr>
              <w:spacing w:before="0" w:after="0"/>
            </w:pPr>
            <w:r>
              <w:rPr>
                <w:sz w:val="16"/>
              </w:rPr>
              <w:t>$963,610</w:t>
            </w:r>
          </w:p>
        </w:tc>
      </w:tr>
    </w:tbl>
    <w:p>
      <w:r>
        <w:t>Monthly totals are deliberately irregular rather than perfectly smooth. May 2024 remains expensive because of professional-service and response costs; July 2024 shows the shutdown trough; spending then rebuilds through the post-pivot recovery.</w:t>
      </w:r>
    </w:p>
    <w:p>
      <w:pPr>
        <w:pStyle w:val="Heading1"/>
      </w:pPr>
      <w:r>
        <w:t>7. Helper CSV</w:t>
      </w:r>
    </w:p>
    <w:p>
      <w:r>
        <w:t>sqlvalley_expenses_with_helpers.csv contains the same 1,708 core rows plus navigation-only fields:</w:t>
      </w:r>
    </w:p>
    <w:p>
      <w:r>
        <w:rPr>
          <w:rFonts w:ascii="Consolas" w:hAnsi="Consolas"/>
          <w:sz w:val="17"/>
        </w:rPr>
        <w:t>phase, phase_name, timeline_segment, expense_type, month, quarter, department_name_at_time, requester_name, approver_name, requester_role, approver_role</w:t>
      </w:r>
    </w:p>
    <w:p>
      <w:r>
        <w:t>These fields are not part of the canonical SQL schema. department_name_at_time uses the historical name in effect on the expense date, which is useful around the 2023/2024 department repurposing.</w:t>
      </w:r>
    </w:p>
    <w:p>
      <w:pPr>
        <w:pStyle w:val="Heading1"/>
      </w:pPr>
      <w:r>
        <w:t>8. Source-priority note</w:t>
      </w:r>
    </w:p>
    <w:p>
      <w:r>
        <w:t>The organizational sequence follows the departments and employees timelines. Exact requester/approver availability is validated against the current employee and contract data. If a narrative milestone and an actual employee hire date differ, the employee/contract date governs when that ID can first appear in expenses; this prevents invalid historical employee references.</w:t>
      </w:r>
    </w:p>
    <w:p>
      <w:pPr>
        <w:pStyle w:val="Heading1"/>
      </w:pPr>
      <w:r>
        <w:t>9. Validation results</w:t>
      </w:r>
    </w:p>
    <w:p>
      <w:pPr>
        <w:ind w:left="230" w:hanging="173"/>
      </w:pPr>
      <w:r>
        <w:rPr>
          <w:b/>
        </w:rPr>
        <w:t xml:space="preserve">• </w:t>
      </w:r>
      <w:r>
        <w:t>1,708 unique exp_id values.</w:t>
      </w:r>
    </w:p>
    <w:p>
      <w:pPr>
        <w:ind w:left="230" w:hanging="173"/>
      </w:pPr>
      <w:r>
        <w:rPr>
          <w:b/>
        </w:rPr>
        <w:t xml:space="preserve">• </w:t>
      </w:r>
      <w:r>
        <w:t>All pre-23 June 2023 rows have NULL d_id, requested_by and approved_by.</w:t>
      </w:r>
    </w:p>
    <w:p>
      <w:pPr>
        <w:ind w:left="230" w:hanging="173"/>
      </w:pPr>
      <w:r>
        <w:rPr>
          <w:b/>
        </w:rPr>
        <w:t xml:space="preserve">• </w:t>
      </w:r>
      <w:r>
        <w:t>No department appears before its canonical creation date.</w:t>
      </w:r>
    </w:p>
    <w:p>
      <w:pPr>
        <w:ind w:left="230" w:hanging="173"/>
      </w:pPr>
      <w:r>
        <w:rPr>
          <w:b/>
        </w:rPr>
        <w:t xml:space="preserve">• </w:t>
      </w:r>
      <w:r>
        <w:t>All non-NULL employee references exist and are employed on the expense date.</w:t>
      </w:r>
    </w:p>
    <w:p>
      <w:pPr>
        <w:ind w:left="230" w:hanging="173"/>
      </w:pPr>
      <w:r>
        <w:rPr>
          <w:b/>
        </w:rPr>
        <w:t xml:space="preserve">• </w:t>
      </w:r>
      <w:r>
        <w:t>Former employees are not used after their final employment date.</w:t>
      </w:r>
    </w:p>
    <w:p>
      <w:pPr>
        <w:ind w:left="230" w:hanging="173"/>
      </w:pPr>
      <w:r>
        <w:rPr>
          <w:b/>
        </w:rPr>
        <w:t xml:space="preserve">• </w:t>
      </w:r>
      <w:r>
        <w:t>Employees on recorded leave are not used for generated approvals/requests during that leave.</w:t>
      </w:r>
    </w:p>
    <w:p>
      <w:pPr>
        <w:ind w:left="230" w:hanging="173"/>
      </w:pPr>
      <w:r>
        <w:rPr>
          <w:b/>
        </w:rPr>
        <w:t xml:space="preserve">• </w:t>
      </w:r>
      <w:r>
        <w:t>0 self-approved baseline expenses.</w:t>
      </w:r>
    </w:p>
    <w:p>
      <w:pPr>
        <w:ind w:left="230" w:hanging="173"/>
      </w:pPr>
      <w:r>
        <w:rPr>
          <w:b/>
        </w:rPr>
        <w:t xml:space="preserve">• </w:t>
      </w:r>
      <w:r>
        <w:t>0 deliberately seeded tampering/exercise rows.</w:t>
      </w:r>
    </w:p>
    <w:p>
      <w:pPr>
        <w:pStyle w:val="Heading1"/>
      </w:pPr>
      <w:r>
        <w:t>10. Files</w:t>
      </w:r>
    </w:p>
    <w:p>
      <w:r>
        <w:t>sqlvalley_expenses.csv — canonical schema only</w:t>
      </w:r>
    </w:p>
    <w:p>
      <w:r>
        <w:t>sqlvalley_expenses_with_helpers.csv — same rows plus navigation helpers</w:t>
      </w:r>
    </w:p>
    <w:p>
      <w:r>
        <w:t>SQLValley_Expenses_README.docx — this document</w:t>
      </w:r>
    </w:p>
    <w:sectPr w:rsidR="00FC693F" w:rsidRPr="0006063C" w:rsidSect="00034616">
      <w:headerReference w:type="default" r:id="rId9"/>
      <w:footerReference w:type="default" r:id="rId10"/>
      <w:pgSz w:w="12240" w:h="15840"/>
      <w:pgMar w:top="749" w:right="936" w:bottom="749"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Historically aligned baseline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SQLValley • Expenses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6" w:line="247" w:lineRule="auto"/>
    </w:pPr>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Display" w:hAnsi="Aptos Display"/>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