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SQLValley Quarterly Performance — README</w:t>
      </w:r>
    </w:p>
    <w:p>
      <w:r>
        <w:rPr>
          <w:b/>
        </w:rPr>
        <w:t>Baseline category-level performance data • Q2 2023–Q2 2025</w:t>
      </w:r>
    </w:p>
    <w:p>
      <w:pPr>
        <w:pStyle w:val="Heading1"/>
      </w:pPr>
      <w:r>
        <w:t>1. Table purpose</w:t>
      </w:r>
    </w:p>
    <w:p>
      <w:r>
        <w:t>quarterlyPerformance stores HeriShare's commercial performance by asset category and fiscal quarter. The category dimension enables sector-level analysis while preserving a compact management-reporting structure.</w:t>
      </w:r>
    </w:p>
    <w:p>
      <w:r>
        <w:t>Schema:</w:t>
      </w:r>
    </w:p>
    <w:p>
      <w:r>
        <w:rPr>
          <w:rFonts w:ascii="Consolas" w:hAnsi="Consolas"/>
          <w:sz w:val="16"/>
        </w:rPr>
        <w:t>quarterlyPerformance(quarter, fiscal_year, category, revenue, operating_expenses, total_transactions, updated_at)</w:t>
      </w:r>
    </w:p>
    <w:p>
      <w:r>
        <w:t>Composite primary key: (quarter, fiscal_year, category). The CSV uses semicolon delimiters and contains 276 rows.</w:t>
      </w:r>
    </w:p>
    <w:p>
      <w:pPr>
        <w:pStyle w:val="Heading1"/>
      </w:pPr>
      <w:r>
        <w:t>2. Field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  <w:t>Field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  <w:t>quarter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  <w:t>Fiscal quarter: Q1, Q2, Q3 or Q4.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  <w:t>fiscal_year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  <w:t>Calendar fiscal year.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  <w:t>category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  <w:t>Exact product category from the products table.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  <w:t>revenue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  <w:t>HeriShare revenue attributable to the category, not asset GMV.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  <w:t>operating_expenses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  <w:t>Category-attributable costs: appraisal, insurance, custody, provenance, specialist handling and transaction servicing.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  <w:t>total_transactions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  <w:t>Pre-pivot: fractional investment/share transactions. Post-pivot: whole-asset transaction attempts.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  <w:t>When the category-quarter record was finalized or refreshed.</w:t>
            </w:r>
          </w:p>
        </w:tc>
      </w:tr>
    </w:tbl>
    <w:p>
      <w:pPr>
        <w:pStyle w:val="Heading1"/>
      </w:pPr>
      <w:r>
        <w:t>3. Coverage and business-model break</w:t>
      </w:r>
    </w:p>
    <w:p>
      <w:r>
        <w:t>Q1 2023 is intentionally absent because HeriShare only had prototype/mock assets. Real category performance begins in Q2 2023. Nine real categories are active in Q2 2023, 29 by Q3 2023, and all 34 categories from Q4 2023 onward.</w:t>
      </w:r>
    </w:p>
    <w:p>
      <w:r>
        <w:t>The meaning of total_transactions changes after the 2024 pivot. Pre-pivot values summarize the fractional-ownership model; from Q3 2024 onward they summarize whole-asset transaction attempts. The resulting drop is intentional and should not be normalized.</w:t>
      </w:r>
    </w:p>
    <w:p>
      <w:pPr>
        <w:pStyle w:val="Heading1"/>
      </w:pPr>
      <w:r>
        <w:t>4. Generated quarter totals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cantSplit/>
        </w:trPr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Quarter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Categories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Revenue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Attributed opex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Transactions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Notes</w:t>
            </w:r>
          </w:p>
        </w:tc>
      </w:tr>
      <w:tr>
        <w:trPr>
          <w:cantSplit/>
        </w:trPr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Q2 2023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$32,000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$52,000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310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First commercial quarter</w:t>
            </w:r>
          </w:p>
        </w:tc>
      </w:tr>
      <w:tr>
        <w:trPr>
          <w:cantSplit/>
        </w:trPr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Q3 2023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29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$235,000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$185,000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2,250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Accelerator growth</w:t>
            </w:r>
          </w:p>
        </w:tc>
      </w:tr>
      <w:tr>
        <w:trPr>
          <w:cantSplit/>
        </w:trPr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Q4 2023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34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$910,000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$430,000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9,600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Marketplace + virality</w:t>
            </w:r>
          </w:p>
        </w:tc>
      </w:tr>
      <w:tr>
        <w:trPr>
          <w:cantSplit/>
        </w:trPr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Q1 2024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34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$2,150,000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$720,000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18,700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Peak clean growth</w:t>
            </w:r>
          </w:p>
        </w:tc>
      </w:tr>
      <w:tr>
        <w:trPr>
          <w:cantSplit/>
        </w:trPr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Q2 2024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34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$1,820,000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$1,120,000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10,900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Crisis quarter</w:t>
            </w:r>
          </w:p>
        </w:tc>
      </w:tr>
      <w:tr>
        <w:trPr>
          <w:cantSplit/>
        </w:trPr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Q3 2024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34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$93,410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$760,000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Shutdown / pivot</w:t>
            </w:r>
          </w:p>
        </w:tc>
      </w:tr>
      <w:tr>
        <w:trPr>
          <w:cantSplit/>
        </w:trPr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Q4 2024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34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$6,366,465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$2,750,000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520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Early recovery</w:t>
            </w:r>
          </w:p>
        </w:tc>
      </w:tr>
      <w:tr>
        <w:trPr>
          <w:cantSplit/>
        </w:trPr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Q1 2025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34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$11,691,512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$4,100,000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908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Scaling new model</w:t>
            </w:r>
          </w:p>
        </w:tc>
      </w:tr>
      <w:tr>
        <w:trPr>
          <w:cantSplit/>
        </w:trPr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Q2 2025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34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$4,992,527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$1,580,000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356</w:t>
            </w:r>
          </w:p>
        </w:tc>
        <w:tc>
          <w:tcPr>
            <w:tcW w:type="dxa" w:w="1704"/>
            <w:vAlign w:val="center"/>
          </w:tcPr>
          <w:p>
            <w:pPr>
              <w:spacing w:before="0" w:after="0"/>
            </w:pPr>
            <w:r>
              <w:rPr>
                <w:sz w:val="14"/>
              </w:rPr>
              <w:t>April only (partial)</w:t>
            </w:r>
          </w:p>
        </w:tc>
      </w:tr>
    </w:tbl>
    <w:p>
      <w:pPr>
        <w:pStyle w:val="Heading1"/>
      </w:pPr>
      <w:r>
        <w:t>5. Generation logic</w:t>
      </w:r>
    </w:p>
    <w:p>
      <w:pPr>
        <w:ind w:left="230" w:hanging="173"/>
      </w:pPr>
      <w:r>
        <w:rPr>
          <w:b/>
        </w:rPr>
        <w:t xml:space="preserve">• </w:t>
      </w:r>
      <w:r>
        <w:t>Category activation follows actual product listed_at dates; prototype DRAFT assets are excluded.</w:t>
      </w:r>
    </w:p>
    <w:p>
      <w:pPr>
        <w:ind w:left="230" w:hanging="173"/>
      </w:pPr>
      <w:r>
        <w:rPr>
          <w:b/>
        </w:rPr>
        <w:t xml:space="preserve">• </w:t>
      </w:r>
      <w:r>
        <w:t>Pre-pivot transaction counts are estimated because the detailed fractional transaction ledger is intentionally absent.</w:t>
      </w:r>
    </w:p>
    <w:p>
      <w:pPr>
        <w:ind w:left="230" w:hanging="173"/>
      </w:pPr>
      <w:r>
        <w:rPr>
          <w:b/>
        </w:rPr>
        <w:t xml:space="preserve">• </w:t>
      </w:r>
      <w:r>
        <w:t>Pre-pivot revenue uses product count, estimated value, maturity and category liquidity rather than a constant fee per transaction.</w:t>
      </w:r>
    </w:p>
    <w:p>
      <w:pPr>
        <w:ind w:left="230" w:hanging="173"/>
      </w:pPr>
      <w:r>
        <w:rPr>
          <w:b/>
        </w:rPr>
        <w:t xml:space="preserve">• </w:t>
      </w:r>
      <w:r>
        <w:t>From Q3 2024 onward, total_transactions is aggregated directly from sqlvalley_transactions.csv by product category.</w:t>
      </w:r>
    </w:p>
    <w:p>
      <w:pPr>
        <w:ind w:left="230" w:hanging="173"/>
      </w:pPr>
      <w:r>
        <w:rPr>
          <w:b/>
        </w:rPr>
        <w:t xml:space="preserve">• </w:t>
      </w:r>
      <w:r>
        <w:t>Post-pivot revenue is based on completed-sale GMV with category-sensitive marketplace fee assumptions; unsuccessful attempts do not generate sale commission.</w:t>
      </w:r>
    </w:p>
    <w:p>
      <w:pPr>
        <w:ind w:left="230" w:hanging="173"/>
      </w:pPr>
      <w:r>
        <w:rPr>
          <w:b/>
        </w:rPr>
        <w:t xml:space="preserve">• </w:t>
      </w:r>
      <w:r>
        <w:t>operating_expenses contains attributable category costs only; it is not the company's full accounting opex and is not SUM(expenses.amount).</w:t>
      </w:r>
    </w:p>
    <w:p>
      <w:pPr>
        <w:ind w:left="230" w:hanging="173"/>
      </w:pPr>
      <w:r>
        <w:rPr>
          <w:b/>
        </w:rPr>
        <w:t xml:space="preserve">• </w:t>
      </w:r>
      <w:r>
        <w:t>During Q3 2024, categories can still incur costs because custody, insurance, provenance and legal obligations continue during shutdown.</w:t>
      </w:r>
    </w:p>
    <w:p>
      <w:pPr>
        <w:ind w:left="230" w:hanging="173"/>
      </w:pPr>
      <w:r>
        <w:rPr>
          <w:b/>
        </w:rPr>
        <w:t xml:space="preserve">• </w:t>
      </w:r>
      <w:r>
        <w:t>Q2 2025 is partial through 30 April and is not extrapolated to May–June.</w:t>
      </w:r>
    </w:p>
    <w:p>
      <w:pPr>
        <w:pStyle w:val="Heading1"/>
      </w:pPr>
      <w:r>
        <w:t>6. Reporting behavior</w:t>
      </w:r>
    </w:p>
    <w:p>
      <w:r>
        <w:t>updated_at becomes more regular as HeriShare matures. Early quarters can close later with wider category-by-category variation. Q2 and Q3 2024 close later because of crisis and restructuring work. Post-pivot reporting is tighter. Q2 2025 is refreshed on the 30 April snapshot date.</w:t>
      </w:r>
    </w:p>
    <w:p>
      <w:pPr>
        <w:pStyle w:val="Heading1"/>
      </w:pPr>
      <w:r>
        <w:t>7. Exercise neutrality</w:t>
      </w:r>
    </w:p>
    <w:p>
      <w:r>
        <w:t>This is baseline filler only. It contains no deliberately seeded fraud, manipulated reporting, hidden accounting errors or exercise-answer rows. Exercise-specific entries can be added later without rebuilding the normal historical baseline.</w:t>
      </w:r>
    </w:p>
    <w:p>
      <w:pPr>
        <w:pStyle w:val="Heading1"/>
      </w:pPr>
      <w:r>
        <w:t>8. Validation</w:t>
      </w:r>
    </w:p>
    <w:p>
      <w:pPr>
        <w:ind w:left="230" w:hanging="173"/>
      </w:pPr>
      <w:r>
        <w:rPr>
          <w:b/>
        </w:rPr>
        <w:t xml:space="preserve">• </w:t>
      </w:r>
      <w:r>
        <w:t>276 rows; 276 unique composite keys.</w:t>
      </w:r>
    </w:p>
    <w:p>
      <w:pPr>
        <w:ind w:left="230" w:hanging="173"/>
      </w:pPr>
      <w:r>
        <w:rPr>
          <w:b/>
        </w:rPr>
        <w:t xml:space="preserve">• </w:t>
      </w:r>
      <w:r>
        <w:t>Only categories existing in the products dataset are used.</w:t>
      </w:r>
    </w:p>
    <w:p>
      <w:pPr>
        <w:ind w:left="230" w:hanging="173"/>
      </w:pPr>
      <w:r>
        <w:rPr>
          <w:b/>
        </w:rPr>
        <w:t xml:space="preserve">• </w:t>
      </w:r>
      <w:r>
        <w:t>No negative revenue, operating expense or transaction values.</w:t>
      </w:r>
    </w:p>
    <w:p>
      <w:pPr>
        <w:ind w:left="230" w:hanging="173"/>
      </w:pPr>
      <w:r>
        <w:rPr>
          <w:b/>
        </w:rPr>
        <w:t xml:space="preserve">• </w:t>
      </w:r>
      <w:r>
        <w:t>Q3 2024 transaction attempts = 16.</w:t>
      </w:r>
    </w:p>
    <w:p>
      <w:pPr>
        <w:ind w:left="230" w:hanging="173"/>
      </w:pPr>
      <w:r>
        <w:rPr>
          <w:b/>
        </w:rPr>
        <w:t xml:space="preserve">• </w:t>
      </w:r>
      <w:r>
        <w:t>Q4 2024 transaction attempts = 520.</w:t>
      </w:r>
    </w:p>
    <w:p>
      <w:pPr>
        <w:ind w:left="230" w:hanging="173"/>
      </w:pPr>
      <w:r>
        <w:rPr>
          <w:b/>
        </w:rPr>
        <w:t xml:space="preserve">• </w:t>
      </w:r>
      <w:r>
        <w:t>Q1 2025 transaction attempts = 908.</w:t>
      </w:r>
    </w:p>
    <w:p>
      <w:pPr>
        <w:ind w:left="230" w:hanging="173"/>
      </w:pPr>
      <w:r>
        <w:rPr>
          <w:b/>
        </w:rPr>
        <w:t xml:space="preserve">• </w:t>
      </w:r>
      <w:r>
        <w:t>Q2 2025 April transaction attempts = 356.</w:t>
      </w:r>
    </w:p>
    <w:p>
      <w:pPr>
        <w:ind w:left="230" w:hanging="173"/>
      </w:pPr>
      <w:r>
        <w:rPr>
          <w:b/>
        </w:rPr>
        <w:t xml:space="preserve">• </w:t>
      </w:r>
      <w:r>
        <w:t>No growth_rate field is included.</w:t>
      </w:r>
    </w:p>
    <w:p>
      <w:pPr>
        <w:pStyle w:val="Heading1"/>
      </w:pPr>
      <w:r>
        <w:t>9. Files</w:t>
      </w:r>
    </w:p>
    <w:p>
      <w:r>
        <w:t>Data: sqlvalley_quarterlyPerformance.csv</w:t>
      </w:r>
    </w:p>
    <w:p>
      <w:r>
        <w:t>Documentation: SQLValley_QuarterlyPerformance_README.docx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Baseline dataset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SQLValley • quarterlyPerformance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47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