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SQLValley Expenses Table - README</w:t>
      </w:r>
    </w:p>
    <w:p>
      <w:pPr>
        <w:jc w:val="center"/>
      </w:pPr>
      <w:r>
        <w:rPr>
          <w:b/>
        </w:rPr>
        <w:t>Baseline generated datasets: sqlvalley_expenses.csv + sqlvalley_expenses_with_helpers.csv</w:t>
      </w:r>
    </w:p>
    <w:p>
      <w:pPr>
        <w:pStyle w:val="Heading1"/>
      </w:pPr>
      <w:r>
        <w:t>1. Purpose</w:t>
      </w:r>
    </w:p>
    <w:p>
      <w:r>
        <w:t>The expenses table records HeriShare non-payroll operating expenditure. It is designed as an indirect financial diary: spending volume, department mix, amounts, requester/approver patterns, and description quality change as the company grows, enters crisis, shuts down, pivots, and recovers. Payroll and salary changes remain in contracts and are not duplicated here.</w:t>
      </w:r>
    </w:p>
    <w:p>
      <w:pPr>
        <w:pStyle w:val="Heading1"/>
      </w:pPr>
      <w:r>
        <w:t>2. Schema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16"/>
            <w:shd w:fill="D9EAF7"/>
          </w:tcPr>
          <w:p>
            <w:r>
              <w:rPr>
                <w:b/>
                <w:sz w:val="16"/>
              </w:rPr>
              <w:t>Column</w:t>
            </w:r>
          </w:p>
        </w:tc>
        <w:tc>
          <w:tcPr>
            <w:tcW w:type="dxa" w:w="9504"/>
            <w:shd w:fill="D9EAF7"/>
          </w:tcPr>
          <w:p>
            <w:r>
              <w:rPr>
                <w:b/>
                <w:sz w:val="16"/>
              </w:rPr>
              <w:t>Meaning</w:t>
            </w:r>
          </w:p>
        </w:tc>
      </w:tr>
      <w:tr>
        <w:tc>
          <w:tcPr>
            <w:tcW w:type="dxa" w:w="2016"/>
            <w:vAlign w:val="center"/>
          </w:tcPr>
          <w:p>
            <w:r>
              <w:rPr>
                <w:sz w:val="16"/>
              </w:rPr>
              <w:t>exp_id</w:t>
            </w:r>
          </w:p>
        </w:tc>
        <w:tc>
          <w:tcPr>
            <w:tcW w:type="dxa" w:w="9504"/>
            <w:vAlign w:val="center"/>
          </w:tcPr>
          <w:p>
            <w:r>
              <w:rPr>
                <w:sz w:val="16"/>
              </w:rPr>
              <w:t>Primary key for the expense record.</w:t>
            </w:r>
          </w:p>
        </w:tc>
      </w:tr>
      <w:tr>
        <w:tc>
          <w:tcPr>
            <w:tcW w:type="dxa" w:w="2016"/>
            <w:vAlign w:val="center"/>
          </w:tcPr>
          <w:p>
            <w:r>
              <w:rPr>
                <w:sz w:val="16"/>
              </w:rPr>
              <w:t>amount</w:t>
            </w:r>
          </w:p>
        </w:tc>
        <w:tc>
          <w:tcPr>
            <w:tcW w:type="dxa" w:w="9504"/>
            <w:vAlign w:val="center"/>
          </w:tcPr>
          <w:p>
            <w:r>
              <w:rPr>
                <w:sz w:val="16"/>
              </w:rPr>
              <w:t>Expense amount in USD.</w:t>
            </w:r>
          </w:p>
        </w:tc>
      </w:tr>
      <w:tr>
        <w:tc>
          <w:tcPr>
            <w:tcW w:type="dxa" w:w="2016"/>
            <w:vAlign w:val="center"/>
          </w:tcPr>
          <w:p>
            <w:r>
              <w:rPr>
                <w:sz w:val="16"/>
              </w:rPr>
              <w:t>d_id</w:t>
            </w:r>
          </w:p>
        </w:tc>
        <w:tc>
          <w:tcPr>
            <w:tcW w:type="dxa" w:w="9504"/>
            <w:vAlign w:val="center"/>
          </w:tcPr>
          <w:p>
            <w:r>
              <w:rPr>
                <w:sz w:val="16"/>
              </w:rPr>
              <w:t>Department charged for the expense; FK to departments(d_id).</w:t>
            </w:r>
          </w:p>
        </w:tc>
      </w:tr>
      <w:tr>
        <w:tc>
          <w:tcPr>
            <w:tcW w:type="dxa" w:w="2016"/>
            <w:vAlign w:val="center"/>
          </w:tcPr>
          <w:p>
            <w:r>
              <w:rPr>
                <w:sz w:val="16"/>
              </w:rPr>
              <w:t>description</w:t>
            </w:r>
          </w:p>
        </w:tc>
        <w:tc>
          <w:tcPr>
            <w:tcW w:type="dxa" w:w="9504"/>
            <w:vAlign w:val="center"/>
          </w:tcPr>
          <w:p>
            <w:r>
              <w:rPr>
                <w:sz w:val="16"/>
              </w:rPr>
              <w:t>Human-entered description of the expense.</w:t>
            </w:r>
          </w:p>
        </w:tc>
      </w:tr>
      <w:tr>
        <w:tc>
          <w:tcPr>
            <w:tcW w:type="dxa" w:w="2016"/>
            <w:vAlign w:val="center"/>
          </w:tcPr>
          <w:p>
            <w:r>
              <w:rPr>
                <w:sz w:val="16"/>
              </w:rPr>
              <w:t>date</w:t>
            </w:r>
          </w:p>
        </w:tc>
        <w:tc>
          <w:tcPr>
            <w:tcW w:type="dxa" w:w="9504"/>
            <w:vAlign w:val="center"/>
          </w:tcPr>
          <w:p>
            <w:r>
              <w:rPr>
                <w:sz w:val="16"/>
              </w:rPr>
              <w:t>Expense date in YYYY-MM-DD format.</w:t>
            </w:r>
          </w:p>
        </w:tc>
      </w:tr>
      <w:tr>
        <w:tc>
          <w:tcPr>
            <w:tcW w:type="dxa" w:w="2016"/>
            <w:vAlign w:val="center"/>
          </w:tcPr>
          <w:p>
            <w:r>
              <w:rPr>
                <w:sz w:val="16"/>
              </w:rPr>
              <w:t>requested_by</w:t>
            </w:r>
          </w:p>
        </w:tc>
        <w:tc>
          <w:tcPr>
            <w:tcW w:type="dxa" w:w="9504"/>
            <w:vAlign w:val="center"/>
          </w:tcPr>
          <w:p>
            <w:r>
              <w:rPr>
                <w:sz w:val="16"/>
              </w:rPr>
              <w:t>Employee who requested the expense; FK to employees(e_id), or NULL for backfilled/legacy records.</w:t>
            </w:r>
          </w:p>
        </w:tc>
      </w:tr>
      <w:tr>
        <w:tc>
          <w:tcPr>
            <w:tcW w:type="dxa" w:w="2016"/>
            <w:vAlign w:val="center"/>
          </w:tcPr>
          <w:p>
            <w:r>
              <w:rPr>
                <w:sz w:val="16"/>
              </w:rPr>
              <w:t>approved_by</w:t>
            </w:r>
          </w:p>
        </w:tc>
        <w:tc>
          <w:tcPr>
            <w:tcW w:type="dxa" w:w="9504"/>
            <w:vAlign w:val="center"/>
          </w:tcPr>
          <w:p>
            <w:r>
              <w:rPr>
                <w:sz w:val="16"/>
              </w:rPr>
              <w:t>Employee who approved the expense; FK to employees(e_id), or NULL where no formal approval record exists.</w:t>
            </w:r>
          </w:p>
        </w:tc>
      </w:tr>
    </w:tbl>
    <w:p>
      <w:pPr>
        <w:pStyle w:val="Heading1"/>
      </w:pPr>
      <w:r>
        <w:t>3. Dataset snapshot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440"/>
            <w:shd w:fill="D9EAF7"/>
          </w:tcPr>
          <w:p>
            <w:r>
              <w:rPr>
                <w:b/>
                <w:sz w:val="16"/>
              </w:rPr>
              <w:t>Period</w:t>
            </w:r>
          </w:p>
        </w:tc>
        <w:tc>
          <w:tcPr>
            <w:tcW w:type="dxa" w:w="3888"/>
            <w:shd w:fill="D9EAF7"/>
          </w:tcPr>
          <w:p>
            <w:r>
              <w:rPr>
                <w:b/>
                <w:sz w:val="16"/>
              </w:rPr>
              <w:t>Character</w:t>
            </w:r>
          </w:p>
        </w:tc>
        <w:tc>
          <w:tcPr>
            <w:tcW w:type="dxa" w:w="1152"/>
            <w:shd w:fill="D9EAF7"/>
          </w:tcPr>
          <w:p>
            <w:r>
              <w:rPr>
                <w:b/>
                <w:sz w:val="16"/>
              </w:rPr>
              <w:t>Rows</w:t>
            </w:r>
          </w:p>
        </w:tc>
        <w:tc>
          <w:tcPr>
            <w:tcW w:type="dxa" w:w="2160"/>
            <w:shd w:fill="D9EAF7"/>
          </w:tcPr>
          <w:p>
            <w:r>
              <w:rPr>
                <w:b/>
                <w:sz w:val="16"/>
              </w:rPr>
              <w:t>Recorded spend</w:t>
            </w:r>
          </w:p>
        </w:tc>
      </w:tr>
      <w:tr>
        <w:tc>
          <w:tcPr>
            <w:tcW w:type="dxa" w:w="1440"/>
            <w:vAlign w:val="center"/>
          </w:tcPr>
          <w:p>
            <w:r>
              <w:rPr>
                <w:sz w:val="16"/>
              </w:rPr>
              <w:t>Phase 1</w:t>
            </w:r>
          </w:p>
        </w:tc>
        <w:tc>
          <w:tcPr>
            <w:tcW w:type="dxa" w:w="3888"/>
            <w:vAlign w:val="center"/>
          </w:tcPr>
          <w:p>
            <w:r>
              <w:rPr>
                <w:sz w:val="16"/>
              </w:rPr>
              <w:t>Startup</w:t>
            </w:r>
          </w:p>
        </w:tc>
        <w:tc>
          <w:tcPr>
            <w:tcW w:type="dxa" w:w="1152"/>
            <w:vAlign w:val="center"/>
          </w:tcPr>
          <w:p>
            <w:r>
              <w:rPr>
                <w:sz w:val="16"/>
              </w:rPr>
              <w:t>110</w:t>
            </w:r>
          </w:p>
        </w:tc>
        <w:tc>
          <w:tcPr>
            <w:tcW w:type="dxa" w:w="2160"/>
            <w:vAlign w:val="center"/>
          </w:tcPr>
          <w:p>
            <w:r>
              <w:rPr>
                <w:sz w:val="16"/>
              </w:rPr>
              <w:t>$69,987.59</w:t>
            </w:r>
          </w:p>
        </w:tc>
      </w:tr>
      <w:tr>
        <w:tc>
          <w:tcPr>
            <w:tcW w:type="dxa" w:w="1440"/>
            <w:vAlign w:val="center"/>
          </w:tcPr>
          <w:p>
            <w:r>
              <w:rPr>
                <w:sz w:val="16"/>
              </w:rPr>
              <w:t>Phase 2</w:t>
            </w:r>
          </w:p>
        </w:tc>
        <w:tc>
          <w:tcPr>
            <w:tcW w:type="dxa" w:w="3888"/>
            <w:vAlign w:val="center"/>
          </w:tcPr>
          <w:p>
            <w:r>
              <w:rPr>
                <w:sz w:val="16"/>
              </w:rPr>
              <w:t>Growth</w:t>
            </w:r>
          </w:p>
        </w:tc>
        <w:tc>
          <w:tcPr>
            <w:tcW w:type="dxa" w:w="1152"/>
            <w:vAlign w:val="center"/>
          </w:tcPr>
          <w:p>
            <w:r>
              <w:rPr>
                <w:sz w:val="16"/>
              </w:rPr>
              <w:t>650</w:t>
            </w:r>
          </w:p>
        </w:tc>
        <w:tc>
          <w:tcPr>
            <w:tcW w:type="dxa" w:w="2160"/>
            <w:vAlign w:val="center"/>
          </w:tcPr>
          <w:p>
            <w:r>
              <w:rPr>
                <w:sz w:val="16"/>
              </w:rPr>
              <w:t>$2,244,825.81</w:t>
            </w:r>
          </w:p>
        </w:tc>
      </w:tr>
      <w:tr>
        <w:tc>
          <w:tcPr>
            <w:tcW w:type="dxa" w:w="1440"/>
            <w:vAlign w:val="center"/>
          </w:tcPr>
          <w:p>
            <w:r>
              <w:rPr>
                <w:sz w:val="16"/>
              </w:rPr>
              <w:t>Phase 3</w:t>
            </w:r>
          </w:p>
        </w:tc>
        <w:tc>
          <w:tcPr>
            <w:tcW w:type="dxa" w:w="3888"/>
            <w:vAlign w:val="center"/>
          </w:tcPr>
          <w:p>
            <w:r>
              <w:rPr>
                <w:sz w:val="16"/>
              </w:rPr>
              <w:t>Crisis</w:t>
            </w:r>
          </w:p>
        </w:tc>
        <w:tc>
          <w:tcPr>
            <w:tcW w:type="dxa" w:w="1152"/>
            <w:vAlign w:val="center"/>
          </w:tcPr>
          <w:p>
            <w:r>
              <w:rPr>
                <w:sz w:val="16"/>
              </w:rPr>
              <w:t>240</w:t>
            </w:r>
          </w:p>
        </w:tc>
        <w:tc>
          <w:tcPr>
            <w:tcW w:type="dxa" w:w="2160"/>
            <w:vAlign w:val="center"/>
          </w:tcPr>
          <w:p>
            <w:r>
              <w:rPr>
                <w:sz w:val="16"/>
              </w:rPr>
              <w:t>$2,328,609.73</w:t>
            </w:r>
          </w:p>
        </w:tc>
      </w:tr>
      <w:tr>
        <w:tc>
          <w:tcPr>
            <w:tcW w:type="dxa" w:w="1440"/>
            <w:vAlign w:val="center"/>
          </w:tcPr>
          <w:p>
            <w:r>
              <w:rPr>
                <w:sz w:val="16"/>
              </w:rPr>
              <w:t>Phase 4</w:t>
            </w:r>
          </w:p>
        </w:tc>
        <w:tc>
          <w:tcPr>
            <w:tcW w:type="dxa" w:w="3888"/>
            <w:vAlign w:val="center"/>
          </w:tcPr>
          <w:p>
            <w:r>
              <w:rPr>
                <w:sz w:val="16"/>
              </w:rPr>
              <w:t>Pivot / recovery</w:t>
            </w:r>
          </w:p>
        </w:tc>
        <w:tc>
          <w:tcPr>
            <w:tcW w:type="dxa" w:w="1152"/>
            <w:vAlign w:val="center"/>
          </w:tcPr>
          <w:p>
            <w:r>
              <w:rPr>
                <w:sz w:val="16"/>
              </w:rPr>
              <w:t>410</w:t>
            </w:r>
          </w:p>
        </w:tc>
        <w:tc>
          <w:tcPr>
            <w:tcW w:type="dxa" w:w="2160"/>
            <w:vAlign w:val="center"/>
          </w:tcPr>
          <w:p>
            <w:r>
              <w:rPr>
                <w:sz w:val="16"/>
              </w:rPr>
              <w:t>$2,206,786.55</w:t>
            </w:r>
          </w:p>
        </w:tc>
      </w:tr>
      <w:tr>
        <w:tc>
          <w:tcPr>
            <w:tcW w:type="dxa" w:w="1440"/>
            <w:vAlign w:val="center"/>
          </w:tcPr>
          <w:p>
            <w:r>
              <w:rPr>
                <w:sz w:val="16"/>
              </w:rPr>
              <w:t>Phase 5</w:t>
            </w:r>
          </w:p>
        </w:tc>
        <w:tc>
          <w:tcPr>
            <w:tcW w:type="dxa" w:w="3888"/>
            <w:vAlign w:val="center"/>
          </w:tcPr>
          <w:p>
            <w:r>
              <w:rPr>
                <w:sz w:val="16"/>
              </w:rPr>
              <w:t>Current snapshot</w:t>
            </w:r>
          </w:p>
        </w:tc>
        <w:tc>
          <w:tcPr>
            <w:tcW w:type="dxa" w:w="1152"/>
            <w:vAlign w:val="center"/>
          </w:tcPr>
          <w:p>
            <w:r>
              <w:rPr>
                <w:sz w:val="16"/>
              </w:rPr>
              <w:t>40</w:t>
            </w:r>
          </w:p>
        </w:tc>
        <w:tc>
          <w:tcPr>
            <w:tcW w:type="dxa" w:w="2160"/>
            <w:vAlign w:val="center"/>
          </w:tcPr>
          <w:p>
            <w:r>
              <w:rPr>
                <w:sz w:val="16"/>
              </w:rPr>
              <w:t>$161,558.83</w:t>
            </w:r>
          </w:p>
        </w:tc>
      </w:tr>
    </w:tbl>
    <w:p>
      <w:r>
        <w:t>Total: 1,450 rows from 2023-01-23 through 2025-04-30; recorded non-payroll spending $7,011,768.51. The largest single expense is $77,294.47.</w:t>
      </w:r>
    </w:p>
    <w:p>
      <w:pPr>
        <w:pStyle w:val="Heading1"/>
      </w:pPr>
      <w:r>
        <w:t>4. Helper CSV</w:t>
      </w:r>
    </w:p>
    <w:p>
      <w:r>
        <w:t>The helper export is intended only for dataset navigation and QA. It preserves all seven canonical columns and appends the following fields: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D9EAF7"/>
          </w:tcPr>
          <w:p>
            <w:r>
              <w:rPr>
                <w:b/>
                <w:sz w:val="15"/>
              </w:rPr>
              <w:t>Helper field</w:t>
            </w:r>
          </w:p>
        </w:tc>
        <w:tc>
          <w:tcPr>
            <w:tcW w:type="dxa" w:w="8496"/>
            <w:shd w:fill="D9EAF7"/>
          </w:tcPr>
          <w:p>
            <w:r>
              <w:rPr>
                <w:b/>
                <w:sz w:val="15"/>
              </w:rPr>
              <w:t>Purpose</w:t>
            </w:r>
          </w:p>
        </w:tc>
      </w:tr>
      <w:tr>
        <w:tc>
          <w:tcPr>
            <w:tcW w:type="dxa" w:w="2880"/>
            <w:vAlign w:val="center"/>
          </w:tcPr>
          <w:p>
            <w:r>
              <w:rPr>
                <w:sz w:val="15"/>
              </w:rPr>
              <w:t>phase</w:t>
            </w:r>
          </w:p>
        </w:tc>
        <w:tc>
          <w:tcPr>
            <w:tcW w:type="dxa" w:w="8496"/>
            <w:vAlign w:val="center"/>
          </w:tcPr>
          <w:p>
            <w:r>
              <w:rPr>
                <w:sz w:val="15"/>
              </w:rPr>
              <w:t>Numeric story phase.</w:t>
            </w:r>
          </w:p>
        </w:tc>
      </w:tr>
      <w:tr>
        <w:tc>
          <w:tcPr>
            <w:tcW w:type="dxa" w:w="2880"/>
            <w:vAlign w:val="center"/>
          </w:tcPr>
          <w:p>
            <w:r>
              <w:rPr>
                <w:sz w:val="15"/>
              </w:rPr>
              <w:t>phase_name</w:t>
            </w:r>
          </w:p>
        </w:tc>
        <w:tc>
          <w:tcPr>
            <w:tcW w:type="dxa" w:w="8496"/>
            <w:vAlign w:val="center"/>
          </w:tcPr>
          <w:p>
            <w:r>
              <w:rPr>
                <w:sz w:val="15"/>
              </w:rPr>
              <w:t>Readable phase label.</w:t>
            </w:r>
          </w:p>
        </w:tc>
      </w:tr>
      <w:tr>
        <w:tc>
          <w:tcPr>
            <w:tcW w:type="dxa" w:w="2880"/>
            <w:vAlign w:val="center"/>
          </w:tcPr>
          <w:p>
            <w:r>
              <w:rPr>
                <w:sz w:val="15"/>
              </w:rPr>
              <w:t>timeline_segment</w:t>
            </w:r>
          </w:p>
        </w:tc>
        <w:tc>
          <w:tcPr>
            <w:tcW w:type="dxa" w:w="8496"/>
            <w:vAlign w:val="center"/>
          </w:tcPr>
          <w:p>
            <w:r>
              <w:rPr>
                <w:sz w:val="15"/>
              </w:rPr>
              <w:t>Generation period / nearby timeline context.</w:t>
            </w:r>
          </w:p>
        </w:tc>
      </w:tr>
      <w:tr>
        <w:tc>
          <w:tcPr>
            <w:tcW w:type="dxa" w:w="2880"/>
            <w:vAlign w:val="center"/>
          </w:tcPr>
          <w:p>
            <w:r>
              <w:rPr>
                <w:sz w:val="15"/>
              </w:rPr>
              <w:t>expense_type</w:t>
            </w:r>
          </w:p>
        </w:tc>
        <w:tc>
          <w:tcPr>
            <w:tcW w:type="dxa" w:w="8496"/>
            <w:vAlign w:val="center"/>
          </w:tcPr>
          <w:p>
            <w:r>
              <w:rPr>
                <w:sz w:val="15"/>
              </w:rPr>
              <w:t>Operational expense category used during generation.</w:t>
            </w:r>
          </w:p>
        </w:tc>
      </w:tr>
      <w:tr>
        <w:tc>
          <w:tcPr>
            <w:tcW w:type="dxa" w:w="2880"/>
            <w:vAlign w:val="center"/>
          </w:tcPr>
          <w:p>
            <w:r>
              <w:rPr>
                <w:sz w:val="15"/>
              </w:rPr>
              <w:t>month</w:t>
            </w:r>
          </w:p>
        </w:tc>
        <w:tc>
          <w:tcPr>
            <w:tcW w:type="dxa" w:w="8496"/>
            <w:vAlign w:val="center"/>
          </w:tcPr>
          <w:p>
            <w:r>
              <w:rPr>
                <w:sz w:val="15"/>
              </w:rPr>
              <w:t>YYYY-MM month key for quick filtering.</w:t>
            </w:r>
          </w:p>
        </w:tc>
      </w:tr>
      <w:tr>
        <w:tc>
          <w:tcPr>
            <w:tcW w:type="dxa" w:w="2880"/>
            <w:vAlign w:val="center"/>
          </w:tcPr>
          <w:p>
            <w:r>
              <w:rPr>
                <w:sz w:val="15"/>
              </w:rPr>
              <w:t>department_name</w:t>
            </w:r>
          </w:p>
        </w:tc>
        <w:tc>
          <w:tcPr>
            <w:tcW w:type="dxa" w:w="8496"/>
            <w:vAlign w:val="center"/>
          </w:tcPr>
          <w:p>
            <w:r>
              <w:rPr>
                <w:sz w:val="15"/>
              </w:rPr>
              <w:t>Readable lookup for d_id.</w:t>
            </w:r>
          </w:p>
        </w:tc>
      </w:tr>
      <w:tr>
        <w:tc>
          <w:tcPr>
            <w:tcW w:type="dxa" w:w="2880"/>
            <w:vAlign w:val="center"/>
          </w:tcPr>
          <w:p>
            <w:r>
              <w:rPr>
                <w:sz w:val="15"/>
              </w:rPr>
              <w:t>requester_name</w:t>
            </w:r>
          </w:p>
        </w:tc>
        <w:tc>
          <w:tcPr>
            <w:tcW w:type="dxa" w:w="8496"/>
            <w:vAlign w:val="center"/>
          </w:tcPr>
          <w:p>
            <w:r>
              <w:rPr>
                <w:sz w:val="15"/>
              </w:rPr>
              <w:t>Readable lookup for requested_by.</w:t>
            </w:r>
          </w:p>
        </w:tc>
      </w:tr>
      <w:tr>
        <w:tc>
          <w:tcPr>
            <w:tcW w:type="dxa" w:w="2880"/>
            <w:vAlign w:val="center"/>
          </w:tcPr>
          <w:p>
            <w:r>
              <w:rPr>
                <w:sz w:val="15"/>
              </w:rPr>
              <w:t>approver_name</w:t>
            </w:r>
          </w:p>
        </w:tc>
        <w:tc>
          <w:tcPr>
            <w:tcW w:type="dxa" w:w="8496"/>
            <w:vAlign w:val="center"/>
          </w:tcPr>
          <w:p>
            <w:r>
              <w:rPr>
                <w:sz w:val="15"/>
              </w:rPr>
              <w:t>Readable lookup for approved_by.</w:t>
            </w:r>
          </w:p>
        </w:tc>
      </w:tr>
    </w:tbl>
    <w:p>
      <w:r>
        <w:t>Helper fields must not be added to the production SQL schema. They exist so the dataset can be inspected, filtered and edited efficiently before exercise-specific rows are introduced.</w:t>
      </w:r>
    </w:p>
    <w:p>
      <w:pPr>
        <w:pStyle w:val="Heading1"/>
      </w:pPr>
      <w:r>
        <w:t>5. Historical behavior</w:t>
      </w:r>
    </w:p>
    <w:p>
      <w:pPr>
        <w:pStyle w:val="Heading2"/>
      </w:pPr>
      <w:r>
        <w:t>Phase 1 - Startup</w:t>
      </w:r>
    </w:p>
    <w:p>
      <w:r>
        <w:t>110 backfilled founder expenses. Requests are small, descriptions are informal and inconsistent, and requested_by / approved_by are NULL because Caesar and Bob were not yet formal employees. Spending moves from domains and hosting into launch marketing, legal setup, insurance, photography and first-partnership handling.</w:t>
      </w:r>
    </w:p>
    <w:p>
      <w:pPr>
        <w:pStyle w:val="Heading2"/>
      </w:pPr>
      <w:r>
        <w:t>Phase 2 - Growth</w:t>
      </w:r>
    </w:p>
    <w:p>
      <w:r>
        <w:t>Expense volume expands sharply after accelerator entry and seed funding. Hiring creates hardware, recruiting, onboarding and software costs. Partnership growth adds appraisal, provenance, transport, storage and insurance. Viral press coverage in November 2023 creates a visible infrastructure/support/recruiting burst. Descriptions become progressively standardized and approvals become normal.</w:t>
      </w:r>
    </w:p>
    <w:p>
      <w:pPr>
        <w:pStyle w:val="Heading2"/>
      </w:pPr>
      <w:r>
        <w:t>Phase 3 - Loophole and crisis</w:t>
      </w:r>
    </w:p>
    <w:p>
      <w:r>
        <w:t>Legal, compliance, reconciliation, custody and communications spending begins rising in late April 2024 and peaks after the May leak. Recruitment and ordinary expansion spending decline. The June shutdown then collapses discretionary traffic while legal, storage, insurance and essential infrastructure remain as a cost floor.</w:t>
      </w:r>
    </w:p>
    <w:p>
      <w:pPr>
        <w:pStyle w:val="Heading2"/>
      </w:pPr>
      <w:r>
        <w:t>Phase 4 - Pivot and recovery</w:t>
      </w:r>
    </w:p>
    <w:p>
      <w:r>
        <w:t>Spending resumes selectively after the August board intervention. The mix moves away from public marketing and museum outreach toward data migration, private sales, KYC, provenance, valuation, custody, insurance and transaction operations. Monthly volume grows again through April 2025 but approvals stay more disciplined than during pre-crisis expansion.</w:t>
      </w:r>
    </w:p>
    <w:p>
      <w:pPr>
        <w:pStyle w:val="Heading2"/>
      </w:pPr>
      <w:r>
        <w:t>Phase 5 - Current snapshot</w:t>
      </w:r>
    </w:p>
    <w:p>
      <w:r>
        <w:t>Ordinary marketplace spending continues through the final April 2025 snapshot. This baseline intentionally contains no seeded fraud, tampering, suspicious approval pattern, or other exercise-specific anomaly; such rows can be added later without contaminating the filler data.</w:t>
      </w:r>
    </w:p>
    <w:p>
      <w:pPr>
        <w:pStyle w:val="Heading1"/>
      </w:pPr>
      <w:r>
        <w:t>6. Description style</w:t>
      </w:r>
    </w:p>
    <w:p>
      <w:r>
        <w:t>Description wording intentionally evolves with the company. Early rows include entries such as “hosting”, “office stuff”, and “lawyer”. By late growth and recovery, descriptions look like normal accounting records such as “Cloud infrastructure - Nov 2023”, “Seller provenance review”, or “Secure custody transfer”. Crisis descriptions stay professional but show urgency through subjects such as ownership review, communications advisory, restructuring and contract termination. The table never labels story beats directly.</w:t>
      </w:r>
    </w:p>
    <w:p>
      <w:pPr>
        <w:pStyle w:val="Heading1"/>
      </w:pPr>
      <w:r>
        <w:t>7. Referential and temporal rules</w:t>
      </w:r>
    </w:p>
    <w:p>
      <w:pPr>
        <w:pStyle w:val="ListBullet"/>
      </w:pPr>
      <w:r>
        <w:t>Every non-NULL requested_by and approved_by value exists in employees(e_id).</w:t>
      </w:r>
    </w:p>
    <w:p>
      <w:pPr>
        <w:pStyle w:val="ListBullet"/>
      </w:pPr>
      <w:r>
        <w:t>Every d_id exists in the canonical hierarchical departments table.</w:t>
      </w:r>
    </w:p>
    <w:p>
      <w:pPr>
        <w:pStyle w:val="ListBullet"/>
      </w:pPr>
      <w:r>
        <w:t>Employee references occur only while the employee is available for work; PTO, sick leave and Marcelle’s sabbatical are excluded from requester/approver assignment.</w:t>
      </w:r>
    </w:p>
    <w:p>
      <w:pPr>
        <w:pStyle w:val="ListBullet"/>
      </w:pPr>
      <w:r>
        <w:t>Phase 1 founder receipts are intentionally NULL for employee references rather than backdated to employee IDs that did not yet exist.</w:t>
      </w:r>
    </w:p>
    <w:p>
      <w:pPr>
        <w:pStyle w:val="ListBullet"/>
      </w:pPr>
      <w:r>
        <w:t>Requesters normally come from the charged department or a believable leadership fallback for periods before that team was staffed.</w:t>
      </w:r>
    </w:p>
    <w:p>
      <w:pPr>
        <w:pStyle w:val="ListBullet"/>
      </w:pPr>
      <w:r>
        <w:t>Approvers generally come from active managers, founders, Finance, or senior leadership. Mature-period self-approval is intentionally rare.</w:t>
      </w:r>
    </w:p>
    <w:p>
      <w:pPr>
        <w:pStyle w:val="Heading1"/>
      </w:pPr>
      <w:r>
        <w:t>8. Department footprint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152"/>
            <w:shd w:fill="D9EAF7"/>
          </w:tcPr>
          <w:p>
            <w:r>
              <w:rPr>
                <w:b/>
                <w:sz w:val="15"/>
              </w:rPr>
              <w:t>d_id</w:t>
            </w:r>
          </w:p>
        </w:tc>
        <w:tc>
          <w:tcPr>
            <w:tcW w:type="dxa" w:w="4896"/>
            <w:shd w:fill="D9EAF7"/>
          </w:tcPr>
          <w:p>
            <w:r>
              <w:rPr>
                <w:b/>
                <w:sz w:val="15"/>
              </w:rPr>
              <w:t>Department</w:t>
            </w:r>
          </w:p>
        </w:tc>
        <w:tc>
          <w:tcPr>
            <w:tcW w:type="dxa" w:w="1152"/>
            <w:shd w:fill="D9EAF7"/>
          </w:tcPr>
          <w:p>
            <w:r>
              <w:rPr>
                <w:b/>
                <w:sz w:val="15"/>
              </w:rPr>
              <w:t>Rows</w:t>
            </w:r>
          </w:p>
        </w:tc>
        <w:tc>
          <w:tcPr>
            <w:tcW w:type="dxa" w:w="2016"/>
            <w:shd w:fill="D9EAF7"/>
          </w:tcPr>
          <w:p>
            <w:r>
              <w:rPr>
                <w:b/>
                <w:sz w:val="15"/>
              </w:rPr>
              <w:t>Spend</w:t>
            </w:r>
          </w:p>
        </w:tc>
      </w:tr>
      <w:tr>
        <w:tc>
          <w:tcPr>
            <w:tcW w:type="dxa" w:w="1152"/>
            <w:vAlign w:val="center"/>
          </w:tcPr>
          <w:p>
            <w:r>
              <w:rPr>
                <w:sz w:val="15"/>
              </w:rPr>
              <w:t>2120</w:t>
            </w:r>
          </w:p>
        </w:tc>
        <w:tc>
          <w:tcPr>
            <w:tcW w:type="dxa" w:w="4896"/>
            <w:vAlign w:val="center"/>
          </w:tcPr>
          <w:p>
            <w:r>
              <w:rPr>
                <w:sz w:val="15"/>
              </w:rPr>
              <w:t>Software Engineering</w:t>
            </w:r>
          </w:p>
        </w:tc>
        <w:tc>
          <w:tcPr>
            <w:tcW w:type="dxa" w:w="1152"/>
            <w:vAlign w:val="center"/>
          </w:tcPr>
          <w:p>
            <w:r>
              <w:rPr>
                <w:sz w:val="15"/>
              </w:rPr>
              <w:t>236</w:t>
            </w:r>
          </w:p>
        </w:tc>
        <w:tc>
          <w:tcPr>
            <w:tcW w:type="dxa" w:w="2016"/>
            <w:vAlign w:val="center"/>
          </w:tcPr>
          <w:p>
            <w:r>
              <w:rPr>
                <w:sz w:val="15"/>
              </w:rPr>
              <w:t>$353,074.74</w:t>
            </w:r>
          </w:p>
        </w:tc>
      </w:tr>
      <w:tr>
        <w:tc>
          <w:tcPr>
            <w:tcW w:type="dxa" w:w="1152"/>
            <w:vAlign w:val="center"/>
          </w:tcPr>
          <w:p>
            <w:r>
              <w:rPr>
                <w:sz w:val="15"/>
              </w:rPr>
              <w:t>4200</w:t>
            </w:r>
          </w:p>
        </w:tc>
        <w:tc>
          <w:tcPr>
            <w:tcW w:type="dxa" w:w="4896"/>
            <w:vAlign w:val="center"/>
          </w:tcPr>
          <w:p>
            <w:r>
              <w:rPr>
                <w:sz w:val="15"/>
              </w:rPr>
              <w:t>Logistics &amp; Collections</w:t>
            </w:r>
          </w:p>
        </w:tc>
        <w:tc>
          <w:tcPr>
            <w:tcW w:type="dxa" w:w="1152"/>
            <w:vAlign w:val="center"/>
          </w:tcPr>
          <w:p>
            <w:r>
              <w:rPr>
                <w:sz w:val="15"/>
              </w:rPr>
              <w:t>208</w:t>
            </w:r>
          </w:p>
        </w:tc>
        <w:tc>
          <w:tcPr>
            <w:tcW w:type="dxa" w:w="2016"/>
            <w:vAlign w:val="center"/>
          </w:tcPr>
          <w:p>
            <w:r>
              <w:rPr>
                <w:sz w:val="15"/>
              </w:rPr>
              <w:t>$1,163,751.63</w:t>
            </w:r>
          </w:p>
        </w:tc>
      </w:tr>
      <w:tr>
        <w:tc>
          <w:tcPr>
            <w:tcW w:type="dxa" w:w="1152"/>
            <w:vAlign w:val="center"/>
          </w:tcPr>
          <w:p>
            <w:r>
              <w:rPr>
                <w:sz w:val="15"/>
              </w:rPr>
              <w:t>5100</w:t>
            </w:r>
          </w:p>
        </w:tc>
        <w:tc>
          <w:tcPr>
            <w:tcW w:type="dxa" w:w="4896"/>
            <w:vAlign w:val="center"/>
          </w:tcPr>
          <w:p>
            <w:r>
              <w:rPr>
                <w:sz w:val="15"/>
              </w:rPr>
              <w:t>Legal</w:t>
            </w:r>
          </w:p>
        </w:tc>
        <w:tc>
          <w:tcPr>
            <w:tcW w:type="dxa" w:w="1152"/>
            <w:vAlign w:val="center"/>
          </w:tcPr>
          <w:p>
            <w:r>
              <w:rPr>
                <w:sz w:val="15"/>
              </w:rPr>
              <w:t>153</w:t>
            </w:r>
          </w:p>
        </w:tc>
        <w:tc>
          <w:tcPr>
            <w:tcW w:type="dxa" w:w="2016"/>
            <w:vAlign w:val="center"/>
          </w:tcPr>
          <w:p>
            <w:r>
              <w:rPr>
                <w:sz w:val="15"/>
              </w:rPr>
              <w:t>$2,275,722.05</w:t>
            </w:r>
          </w:p>
        </w:tc>
      </w:tr>
      <w:tr>
        <w:tc>
          <w:tcPr>
            <w:tcW w:type="dxa" w:w="1152"/>
            <w:vAlign w:val="center"/>
          </w:tcPr>
          <w:p>
            <w:r>
              <w:rPr>
                <w:sz w:val="15"/>
              </w:rPr>
              <w:t>6200</w:t>
            </w:r>
          </w:p>
        </w:tc>
        <w:tc>
          <w:tcPr>
            <w:tcW w:type="dxa" w:w="4896"/>
            <w:vAlign w:val="center"/>
          </w:tcPr>
          <w:p>
            <w:r>
              <w:rPr>
                <w:sz w:val="15"/>
              </w:rPr>
              <w:t>People &amp; Workplace</w:t>
            </w:r>
          </w:p>
        </w:tc>
        <w:tc>
          <w:tcPr>
            <w:tcW w:type="dxa" w:w="1152"/>
            <w:vAlign w:val="center"/>
          </w:tcPr>
          <w:p>
            <w:r>
              <w:rPr>
                <w:sz w:val="15"/>
              </w:rPr>
              <w:t>142</w:t>
            </w:r>
          </w:p>
        </w:tc>
        <w:tc>
          <w:tcPr>
            <w:tcW w:type="dxa" w:w="2016"/>
            <w:vAlign w:val="center"/>
          </w:tcPr>
          <w:p>
            <w:r>
              <w:rPr>
                <w:sz w:val="15"/>
              </w:rPr>
              <w:t>$523,058.96</w:t>
            </w:r>
          </w:p>
        </w:tc>
      </w:tr>
      <w:tr>
        <w:tc>
          <w:tcPr>
            <w:tcW w:type="dxa" w:w="1152"/>
            <w:vAlign w:val="center"/>
          </w:tcPr>
          <w:p>
            <w:r>
              <w:rPr>
                <w:sz w:val="15"/>
              </w:rPr>
              <w:t>5200</w:t>
            </w:r>
          </w:p>
        </w:tc>
        <w:tc>
          <w:tcPr>
            <w:tcW w:type="dxa" w:w="4896"/>
            <w:vAlign w:val="center"/>
          </w:tcPr>
          <w:p>
            <w:r>
              <w:rPr>
                <w:sz w:val="15"/>
              </w:rPr>
              <w:t>Compliance &amp; Investigations</w:t>
            </w:r>
          </w:p>
        </w:tc>
        <w:tc>
          <w:tcPr>
            <w:tcW w:type="dxa" w:w="1152"/>
            <w:vAlign w:val="center"/>
          </w:tcPr>
          <w:p>
            <w:r>
              <w:rPr>
                <w:sz w:val="15"/>
              </w:rPr>
              <w:t>100</w:t>
            </w:r>
          </w:p>
        </w:tc>
        <w:tc>
          <w:tcPr>
            <w:tcW w:type="dxa" w:w="2016"/>
            <w:vAlign w:val="center"/>
          </w:tcPr>
          <w:p>
            <w:r>
              <w:rPr>
                <w:sz w:val="15"/>
              </w:rPr>
              <w:t>$574,801.62</w:t>
            </w:r>
          </w:p>
        </w:tc>
      </w:tr>
      <w:tr>
        <w:tc>
          <w:tcPr>
            <w:tcW w:type="dxa" w:w="1152"/>
            <w:vAlign w:val="center"/>
          </w:tcPr>
          <w:p>
            <w:r>
              <w:rPr>
                <w:sz w:val="15"/>
              </w:rPr>
              <w:t>6120</w:t>
            </w:r>
          </w:p>
        </w:tc>
        <w:tc>
          <w:tcPr>
            <w:tcW w:type="dxa" w:w="4896"/>
            <w:vAlign w:val="center"/>
          </w:tcPr>
          <w:p>
            <w:r>
              <w:rPr>
                <w:sz w:val="15"/>
              </w:rPr>
              <w:t>Transaction Operations</w:t>
            </w:r>
          </w:p>
        </w:tc>
        <w:tc>
          <w:tcPr>
            <w:tcW w:type="dxa" w:w="1152"/>
            <w:vAlign w:val="center"/>
          </w:tcPr>
          <w:p>
            <w:r>
              <w:rPr>
                <w:sz w:val="15"/>
              </w:rPr>
              <w:t>98</w:t>
            </w:r>
          </w:p>
        </w:tc>
        <w:tc>
          <w:tcPr>
            <w:tcW w:type="dxa" w:w="2016"/>
            <w:vAlign w:val="center"/>
          </w:tcPr>
          <w:p>
            <w:r>
              <w:rPr>
                <w:sz w:val="15"/>
              </w:rPr>
              <w:t>$370,862.96</w:t>
            </w:r>
          </w:p>
        </w:tc>
      </w:tr>
      <w:tr>
        <w:tc>
          <w:tcPr>
            <w:tcW w:type="dxa" w:w="1152"/>
            <w:vAlign w:val="center"/>
          </w:tcPr>
          <w:p>
            <w:r>
              <w:rPr>
                <w:sz w:val="15"/>
              </w:rPr>
              <w:t>7200</w:t>
            </w:r>
          </w:p>
        </w:tc>
        <w:tc>
          <w:tcPr>
            <w:tcW w:type="dxa" w:w="4896"/>
            <w:vAlign w:val="center"/>
          </w:tcPr>
          <w:p>
            <w:r>
              <w:rPr>
                <w:sz w:val="15"/>
              </w:rPr>
              <w:t>Communications</w:t>
            </w:r>
          </w:p>
        </w:tc>
        <w:tc>
          <w:tcPr>
            <w:tcW w:type="dxa" w:w="1152"/>
            <w:vAlign w:val="center"/>
          </w:tcPr>
          <w:p>
            <w:r>
              <w:rPr>
                <w:sz w:val="15"/>
              </w:rPr>
              <w:t>91</w:t>
            </w:r>
          </w:p>
        </w:tc>
        <w:tc>
          <w:tcPr>
            <w:tcW w:type="dxa" w:w="2016"/>
            <w:vAlign w:val="center"/>
          </w:tcPr>
          <w:p>
            <w:r>
              <w:rPr>
                <w:sz w:val="15"/>
              </w:rPr>
              <w:t>$521,704.51</w:t>
            </w:r>
          </w:p>
        </w:tc>
      </w:tr>
      <w:tr>
        <w:tc>
          <w:tcPr>
            <w:tcW w:type="dxa" w:w="1152"/>
            <w:vAlign w:val="center"/>
          </w:tcPr>
          <w:p>
            <w:r>
              <w:rPr>
                <w:sz w:val="15"/>
              </w:rPr>
              <w:t>3100</w:t>
            </w:r>
          </w:p>
        </w:tc>
        <w:tc>
          <w:tcPr>
            <w:tcW w:type="dxa" w:w="4896"/>
            <w:vAlign w:val="center"/>
          </w:tcPr>
          <w:p>
            <w:r>
              <w:rPr>
                <w:sz w:val="15"/>
              </w:rPr>
              <w:t>Seller Partnerships</w:t>
            </w:r>
          </w:p>
        </w:tc>
        <w:tc>
          <w:tcPr>
            <w:tcW w:type="dxa" w:w="1152"/>
            <w:vAlign w:val="center"/>
          </w:tcPr>
          <w:p>
            <w:r>
              <w:rPr>
                <w:sz w:val="15"/>
              </w:rPr>
              <w:t>83</w:t>
            </w:r>
          </w:p>
        </w:tc>
        <w:tc>
          <w:tcPr>
            <w:tcW w:type="dxa" w:w="2016"/>
            <w:vAlign w:val="center"/>
          </w:tcPr>
          <w:p>
            <w:r>
              <w:rPr>
                <w:sz w:val="15"/>
              </w:rPr>
              <w:t>$111,513.38</w:t>
            </w:r>
          </w:p>
        </w:tc>
      </w:tr>
      <w:tr>
        <w:tc>
          <w:tcPr>
            <w:tcW w:type="dxa" w:w="1152"/>
            <w:vAlign w:val="center"/>
          </w:tcPr>
          <w:p>
            <w:r>
              <w:rPr>
                <w:sz w:val="15"/>
              </w:rPr>
              <w:t>7100</w:t>
            </w:r>
          </w:p>
        </w:tc>
        <w:tc>
          <w:tcPr>
            <w:tcW w:type="dxa" w:w="4896"/>
            <w:vAlign w:val="center"/>
          </w:tcPr>
          <w:p>
            <w:r>
              <w:rPr>
                <w:sz w:val="15"/>
              </w:rPr>
              <w:t>Client Services</w:t>
            </w:r>
          </w:p>
        </w:tc>
        <w:tc>
          <w:tcPr>
            <w:tcW w:type="dxa" w:w="1152"/>
            <w:vAlign w:val="center"/>
          </w:tcPr>
          <w:p>
            <w:r>
              <w:rPr>
                <w:sz w:val="15"/>
              </w:rPr>
              <w:t>72</w:t>
            </w:r>
          </w:p>
        </w:tc>
        <w:tc>
          <w:tcPr>
            <w:tcW w:type="dxa" w:w="2016"/>
            <w:vAlign w:val="center"/>
          </w:tcPr>
          <w:p>
            <w:r>
              <w:rPr>
                <w:sz w:val="15"/>
              </w:rPr>
              <w:t>$179,643.07</w:t>
            </w:r>
          </w:p>
        </w:tc>
      </w:tr>
      <w:tr>
        <w:tc>
          <w:tcPr>
            <w:tcW w:type="dxa" w:w="1152"/>
            <w:vAlign w:val="center"/>
          </w:tcPr>
          <w:p>
            <w:r>
              <w:rPr>
                <w:sz w:val="15"/>
              </w:rPr>
              <w:t>4110</w:t>
            </w:r>
          </w:p>
        </w:tc>
        <w:tc>
          <w:tcPr>
            <w:tcW w:type="dxa" w:w="4896"/>
            <w:vAlign w:val="center"/>
          </w:tcPr>
          <w:p>
            <w:r>
              <w:rPr>
                <w:sz w:val="15"/>
              </w:rPr>
              <w:t>Provenance &amp; Cataloguing</w:t>
            </w:r>
          </w:p>
        </w:tc>
        <w:tc>
          <w:tcPr>
            <w:tcW w:type="dxa" w:w="1152"/>
            <w:vAlign w:val="center"/>
          </w:tcPr>
          <w:p>
            <w:r>
              <w:rPr>
                <w:sz w:val="15"/>
              </w:rPr>
              <w:t>66</w:t>
            </w:r>
          </w:p>
        </w:tc>
        <w:tc>
          <w:tcPr>
            <w:tcW w:type="dxa" w:w="2016"/>
            <w:vAlign w:val="center"/>
          </w:tcPr>
          <w:p>
            <w:r>
              <w:rPr>
                <w:sz w:val="15"/>
              </w:rPr>
              <w:t>$240,612.76</w:t>
            </w:r>
          </w:p>
        </w:tc>
      </w:tr>
      <w:tr>
        <w:tc>
          <w:tcPr>
            <w:tcW w:type="dxa" w:w="1152"/>
            <w:vAlign w:val="center"/>
          </w:tcPr>
          <w:p>
            <w:r>
              <w:rPr>
                <w:sz w:val="15"/>
              </w:rPr>
              <w:t>3200</w:t>
            </w:r>
          </w:p>
        </w:tc>
        <w:tc>
          <w:tcPr>
            <w:tcW w:type="dxa" w:w="4896"/>
            <w:vAlign w:val="center"/>
          </w:tcPr>
          <w:p>
            <w:r>
              <w:rPr>
                <w:sz w:val="15"/>
              </w:rPr>
              <w:t>Private Sales</w:t>
            </w:r>
          </w:p>
        </w:tc>
        <w:tc>
          <w:tcPr>
            <w:tcW w:type="dxa" w:w="1152"/>
            <w:vAlign w:val="center"/>
          </w:tcPr>
          <w:p>
            <w:r>
              <w:rPr>
                <w:sz w:val="15"/>
              </w:rPr>
              <w:t>51</w:t>
            </w:r>
          </w:p>
        </w:tc>
        <w:tc>
          <w:tcPr>
            <w:tcW w:type="dxa" w:w="2016"/>
            <w:vAlign w:val="center"/>
          </w:tcPr>
          <w:p>
            <w:r>
              <w:rPr>
                <w:sz w:val="15"/>
              </w:rPr>
              <w:t>$171,795.77</w:t>
            </w:r>
          </w:p>
        </w:tc>
      </w:tr>
      <w:tr>
        <w:tc>
          <w:tcPr>
            <w:tcW w:type="dxa" w:w="1152"/>
            <w:vAlign w:val="center"/>
          </w:tcPr>
          <w:p>
            <w:r>
              <w:rPr>
                <w:sz w:val="15"/>
              </w:rPr>
              <w:t>6110</w:t>
            </w:r>
          </w:p>
        </w:tc>
        <w:tc>
          <w:tcPr>
            <w:tcW w:type="dxa" w:w="4896"/>
            <w:vAlign w:val="center"/>
          </w:tcPr>
          <w:p>
            <w:r>
              <w:rPr>
                <w:sz w:val="15"/>
              </w:rPr>
              <w:t>Accounting &amp; Treasury</w:t>
            </w:r>
          </w:p>
        </w:tc>
        <w:tc>
          <w:tcPr>
            <w:tcW w:type="dxa" w:w="1152"/>
            <w:vAlign w:val="center"/>
          </w:tcPr>
          <w:p>
            <w:r>
              <w:rPr>
                <w:sz w:val="15"/>
              </w:rPr>
              <w:t>49</w:t>
            </w:r>
          </w:p>
        </w:tc>
        <w:tc>
          <w:tcPr>
            <w:tcW w:type="dxa" w:w="2016"/>
            <w:vAlign w:val="center"/>
          </w:tcPr>
          <w:p>
            <w:r>
              <w:rPr>
                <w:sz w:val="15"/>
              </w:rPr>
              <w:t>$118,238.66</w:t>
            </w:r>
          </w:p>
        </w:tc>
      </w:tr>
      <w:tr>
        <w:tc>
          <w:tcPr>
            <w:tcW w:type="dxa" w:w="1152"/>
            <w:vAlign w:val="center"/>
          </w:tcPr>
          <w:p>
            <w:r>
              <w:rPr>
                <w:sz w:val="15"/>
              </w:rPr>
              <w:t>2200</w:t>
            </w:r>
          </w:p>
        </w:tc>
        <w:tc>
          <w:tcPr>
            <w:tcW w:type="dxa" w:w="4896"/>
            <w:vAlign w:val="center"/>
          </w:tcPr>
          <w:p>
            <w:r>
              <w:rPr>
                <w:sz w:val="15"/>
              </w:rPr>
              <w:t>Data &amp; Business Systems</w:t>
            </w:r>
          </w:p>
        </w:tc>
        <w:tc>
          <w:tcPr>
            <w:tcW w:type="dxa" w:w="1152"/>
            <w:vAlign w:val="center"/>
          </w:tcPr>
          <w:p>
            <w:r>
              <w:rPr>
                <w:sz w:val="15"/>
              </w:rPr>
              <w:t>37</w:t>
            </w:r>
          </w:p>
        </w:tc>
        <w:tc>
          <w:tcPr>
            <w:tcW w:type="dxa" w:w="2016"/>
            <w:vAlign w:val="center"/>
          </w:tcPr>
          <w:p>
            <w:r>
              <w:rPr>
                <w:sz w:val="15"/>
              </w:rPr>
              <w:t>$167,390.36</w:t>
            </w:r>
          </w:p>
        </w:tc>
      </w:tr>
      <w:tr>
        <w:tc>
          <w:tcPr>
            <w:tcW w:type="dxa" w:w="1152"/>
            <w:vAlign w:val="center"/>
          </w:tcPr>
          <w:p>
            <w:r>
              <w:rPr>
                <w:sz w:val="15"/>
              </w:rPr>
              <w:t>4120</w:t>
            </w:r>
          </w:p>
        </w:tc>
        <w:tc>
          <w:tcPr>
            <w:tcW w:type="dxa" w:w="4896"/>
            <w:vAlign w:val="center"/>
          </w:tcPr>
          <w:p>
            <w:r>
              <w:rPr>
                <w:sz w:val="15"/>
              </w:rPr>
              <w:t>Valuation &amp; Condition</w:t>
            </w:r>
          </w:p>
        </w:tc>
        <w:tc>
          <w:tcPr>
            <w:tcW w:type="dxa" w:w="1152"/>
            <w:vAlign w:val="center"/>
          </w:tcPr>
          <w:p>
            <w:r>
              <w:rPr>
                <w:sz w:val="15"/>
              </w:rPr>
              <w:t>30</w:t>
            </w:r>
          </w:p>
        </w:tc>
        <w:tc>
          <w:tcPr>
            <w:tcW w:type="dxa" w:w="2016"/>
            <w:vAlign w:val="center"/>
          </w:tcPr>
          <w:p>
            <w:r>
              <w:rPr>
                <w:sz w:val="15"/>
              </w:rPr>
              <w:t>$76,081.12</w:t>
            </w:r>
          </w:p>
        </w:tc>
      </w:tr>
      <w:tr>
        <w:tc>
          <w:tcPr>
            <w:tcW w:type="dxa" w:w="1152"/>
            <w:vAlign w:val="center"/>
          </w:tcPr>
          <w:p>
            <w:r>
              <w:rPr>
                <w:sz w:val="15"/>
              </w:rPr>
              <w:t>2300</w:t>
            </w:r>
          </w:p>
        </w:tc>
        <w:tc>
          <w:tcPr>
            <w:tcW w:type="dxa" w:w="4896"/>
            <w:vAlign w:val="center"/>
          </w:tcPr>
          <w:p>
            <w:r>
              <w:rPr>
                <w:sz w:val="15"/>
              </w:rPr>
              <w:t>IT &amp; Security</w:t>
            </w:r>
          </w:p>
        </w:tc>
        <w:tc>
          <w:tcPr>
            <w:tcW w:type="dxa" w:w="1152"/>
            <w:vAlign w:val="center"/>
          </w:tcPr>
          <w:p>
            <w:r>
              <w:rPr>
                <w:sz w:val="15"/>
              </w:rPr>
              <w:t>25</w:t>
            </w:r>
          </w:p>
        </w:tc>
        <w:tc>
          <w:tcPr>
            <w:tcW w:type="dxa" w:w="2016"/>
            <w:vAlign w:val="center"/>
          </w:tcPr>
          <w:p>
            <w:r>
              <w:rPr>
                <w:sz w:val="15"/>
              </w:rPr>
              <w:t>$112,618.40</w:t>
            </w:r>
          </w:p>
        </w:tc>
      </w:tr>
      <w:tr>
        <w:tc>
          <w:tcPr>
            <w:tcW w:type="dxa" w:w="1152"/>
            <w:vAlign w:val="center"/>
          </w:tcPr>
          <w:p>
            <w:r>
              <w:rPr>
                <w:sz w:val="15"/>
              </w:rPr>
              <w:t>1200</w:t>
            </w:r>
          </w:p>
        </w:tc>
        <w:tc>
          <w:tcPr>
            <w:tcW w:type="dxa" w:w="4896"/>
            <w:vAlign w:val="center"/>
          </w:tcPr>
          <w:p>
            <w:r>
              <w:rPr>
                <w:sz w:val="15"/>
              </w:rPr>
              <w:t>Strategy &amp; Corporate Affairs</w:t>
            </w:r>
          </w:p>
        </w:tc>
        <w:tc>
          <w:tcPr>
            <w:tcW w:type="dxa" w:w="1152"/>
            <w:vAlign w:val="center"/>
          </w:tcPr>
          <w:p>
            <w:r>
              <w:rPr>
                <w:sz w:val="15"/>
              </w:rPr>
              <w:t>5</w:t>
            </w:r>
          </w:p>
        </w:tc>
        <w:tc>
          <w:tcPr>
            <w:tcW w:type="dxa" w:w="2016"/>
            <w:vAlign w:val="center"/>
          </w:tcPr>
          <w:p>
            <w:r>
              <w:rPr>
                <w:sz w:val="15"/>
              </w:rPr>
              <w:t>$46,885.12</w:t>
            </w:r>
          </w:p>
        </w:tc>
      </w:tr>
      <w:tr>
        <w:tc>
          <w:tcPr>
            <w:tcW w:type="dxa" w:w="1152"/>
            <w:vAlign w:val="center"/>
          </w:tcPr>
          <w:p>
            <w:r>
              <w:rPr>
                <w:sz w:val="15"/>
              </w:rPr>
              <w:t>1100</w:t>
            </w:r>
          </w:p>
        </w:tc>
        <w:tc>
          <w:tcPr>
            <w:tcW w:type="dxa" w:w="4896"/>
            <w:vAlign w:val="center"/>
          </w:tcPr>
          <w:p>
            <w:r>
              <w:rPr>
                <w:sz w:val="15"/>
              </w:rPr>
              <w:t>Executive Office</w:t>
            </w:r>
          </w:p>
        </w:tc>
        <w:tc>
          <w:tcPr>
            <w:tcW w:type="dxa" w:w="1152"/>
            <w:vAlign w:val="center"/>
          </w:tcPr>
          <w:p>
            <w:r>
              <w:rPr>
                <w:sz w:val="15"/>
              </w:rPr>
              <w:t>4</w:t>
            </w:r>
          </w:p>
        </w:tc>
        <w:tc>
          <w:tcPr>
            <w:tcW w:type="dxa" w:w="2016"/>
            <w:vAlign w:val="center"/>
          </w:tcPr>
          <w:p>
            <w:r>
              <w:rPr>
                <w:sz w:val="15"/>
              </w:rPr>
              <w:t>$4,013.40</w:t>
            </w:r>
          </w:p>
        </w:tc>
      </w:tr>
    </w:tbl>
    <w:p>
      <w:pPr>
        <w:pStyle w:val="Heading1"/>
      </w:pPr>
      <w:r>
        <w:t>9. Data-generation characteristics</w:t>
      </w:r>
    </w:p>
    <w:p>
      <w:pPr>
        <w:pStyle w:val="ListBullet"/>
      </w:pPr>
      <w:r>
        <w:t>Amounts are right-skewed: many small operational purchases, fewer medium vendor invoices, and rare large professional-service bills.</w:t>
      </w:r>
    </w:p>
    <w:p>
      <w:pPr>
        <w:pStyle w:val="ListBullet"/>
      </w:pPr>
      <w:r>
        <w:t>Recurring expenses use repeated but imperfect descriptions and amounts rather than identical monthly clones.</w:t>
      </w:r>
    </w:p>
    <w:p>
      <w:pPr>
        <w:pStyle w:val="ListBullet"/>
      </w:pPr>
      <w:r>
        <w:t>Most rows are ordinary non-event business traffic; story events influence the local mix and intensity rather than dictating each record.</w:t>
      </w:r>
    </w:p>
    <w:p>
      <w:pPr>
        <w:pStyle w:val="ListBullet"/>
      </w:pPr>
      <w:r>
        <w:t>Expense IDs are stable ledger identifiers and are not intended to encode date or phase.</w:t>
      </w:r>
    </w:p>
    <w:p>
      <w:pPr>
        <w:pStyle w:val="ListBullet"/>
      </w:pPr>
      <w:r>
        <w:t>sqlvalley_expenses.csv contains only the canonical seven schema fields.</w:t>
      </w:r>
    </w:p>
    <w:p>
      <w:pPr>
        <w:pStyle w:val="ListBullet"/>
      </w:pPr>
      <w:r>
        <w:t>sqlvalley_expenses_with_helpers.csv contains the same rows plus navigation-only helper fields; these are not part of the SQL schema.</w:t>
      </w:r>
    </w:p>
    <w:p>
      <w:pPr>
        <w:pStyle w:val="ListBullet"/>
      </w:pPr>
      <w:r>
        <w:t>No exercise-specific fraud, tampering, duplicate-invoice scheme, threshold gaming, or deliberately suspicious approval pattern is seeded in this baseline.</w:t>
      </w:r>
    </w:p>
    <w:p>
      <w:pPr>
        <w:pStyle w:val="ListBullet"/>
      </w:pPr>
      <w:r>
        <w:t>NULL is written literally as NULL to match the conventions used in the other SQLValley CSV datasets.</w:t>
      </w:r>
    </w:p>
    <w:p>
      <w:pPr>
        <w:pStyle w:val="Heading1"/>
      </w:pPr>
      <w:r>
        <w:t>10. Useful SQL exercise patterns</w:t>
      </w:r>
    </w:p>
    <w:p>
      <w:r>
        <w:t>The baseline supports beginner and intermediate exercises involving SUM/AVG/COUNT, GROUP BY, date filtering, joins to departments and employees, top spenders/approvers, monthly trends, recurring descriptions, and pre/post-crisis or pre/post-pivot comparisons. Deliberate exercise-answer rows and anomaly scenarios are intentionally excluded and can be layered on later.</w:t>
      </w:r>
    </w:p>
    <w:p>
      <w:pPr>
        <w:pStyle w:val="Heading1"/>
      </w:pPr>
      <w:r>
        <w:t>11. Validation summary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040"/>
            <w:shd w:fill="D9EAF7"/>
          </w:tcPr>
          <w:p>
            <w:r>
              <w:rPr>
                <w:b/>
                <w:sz w:val="16"/>
              </w:rPr>
              <w:t>Check</w:t>
            </w:r>
          </w:p>
        </w:tc>
        <w:tc>
          <w:tcPr>
            <w:tcW w:type="dxa" w:w="4320"/>
            <w:shd w:fill="D9EAF7"/>
          </w:tcPr>
          <w:p>
            <w:r>
              <w:rPr>
                <w:b/>
                <w:sz w:val="16"/>
              </w:rPr>
              <w:t>Result</w:t>
            </w:r>
          </w:p>
        </w:tc>
      </w:tr>
      <w:tr>
        <w:tc>
          <w:tcPr>
            <w:tcW w:type="dxa" w:w="5040"/>
            <w:vAlign w:val="center"/>
          </w:tcPr>
          <w:p>
            <w:r>
              <w:rPr>
                <w:sz w:val="16"/>
              </w:rPr>
              <w:t>Row count</w:t>
            </w:r>
          </w:p>
        </w:tc>
        <w:tc>
          <w:tcPr>
            <w:tcW w:type="dxa" w:w="4320"/>
            <w:vAlign w:val="center"/>
          </w:tcPr>
          <w:p>
            <w:r>
              <w:rPr>
                <w:sz w:val="16"/>
              </w:rPr>
              <w:t>PASS - 1,450</w:t>
            </w:r>
          </w:p>
        </w:tc>
      </w:tr>
      <w:tr>
        <w:tc>
          <w:tcPr>
            <w:tcW w:type="dxa" w:w="5040"/>
            <w:vAlign w:val="center"/>
          </w:tcPr>
          <w:p>
            <w:r>
              <w:rPr>
                <w:sz w:val="16"/>
              </w:rPr>
              <w:t>Unique exp_id</w:t>
            </w:r>
          </w:p>
        </w:tc>
        <w:tc>
          <w:tcPr>
            <w:tcW w:type="dxa" w:w="4320"/>
            <w:vAlign w:val="center"/>
          </w:tcPr>
          <w:p>
            <w:r>
              <w:rPr>
                <w:sz w:val="16"/>
              </w:rPr>
              <w:t>PASS</w:t>
            </w:r>
          </w:p>
        </w:tc>
      </w:tr>
      <w:tr>
        <w:tc>
          <w:tcPr>
            <w:tcW w:type="dxa" w:w="5040"/>
            <w:vAlign w:val="center"/>
          </w:tcPr>
          <w:p>
            <w:r>
              <w:rPr>
                <w:sz w:val="16"/>
              </w:rPr>
              <w:t>Valid department FKs</w:t>
            </w:r>
          </w:p>
        </w:tc>
        <w:tc>
          <w:tcPr>
            <w:tcW w:type="dxa" w:w="4320"/>
            <w:vAlign w:val="center"/>
          </w:tcPr>
          <w:p>
            <w:r>
              <w:rPr>
                <w:sz w:val="16"/>
              </w:rPr>
              <w:t>PASS</w:t>
            </w:r>
          </w:p>
        </w:tc>
      </w:tr>
      <w:tr>
        <w:tc>
          <w:tcPr>
            <w:tcW w:type="dxa" w:w="5040"/>
            <w:vAlign w:val="center"/>
          </w:tcPr>
          <w:p>
            <w:r>
              <w:rPr>
                <w:sz w:val="16"/>
              </w:rPr>
              <w:t>Valid employee FKs</w:t>
            </w:r>
          </w:p>
        </w:tc>
        <w:tc>
          <w:tcPr>
            <w:tcW w:type="dxa" w:w="4320"/>
            <w:vAlign w:val="center"/>
          </w:tcPr>
          <w:p>
            <w:r>
              <w:rPr>
                <w:sz w:val="16"/>
              </w:rPr>
              <w:t>PASS</w:t>
            </w:r>
          </w:p>
        </w:tc>
      </w:tr>
      <w:tr>
        <w:tc>
          <w:tcPr>
            <w:tcW w:type="dxa" w:w="5040"/>
            <w:vAlign w:val="center"/>
          </w:tcPr>
          <w:p>
            <w:r>
              <w:rPr>
                <w:sz w:val="16"/>
              </w:rPr>
              <w:t>Employee date/availability validity</w:t>
            </w:r>
          </w:p>
        </w:tc>
        <w:tc>
          <w:tcPr>
            <w:tcW w:type="dxa" w:w="4320"/>
            <w:vAlign w:val="center"/>
          </w:tcPr>
          <w:p>
            <w:r>
              <w:rPr>
                <w:sz w:val="16"/>
              </w:rPr>
              <w:t>PASS</w:t>
            </w:r>
          </w:p>
        </w:tc>
      </w:tr>
      <w:tr>
        <w:tc>
          <w:tcPr>
            <w:tcW w:type="dxa" w:w="5040"/>
            <w:vAlign w:val="center"/>
          </w:tcPr>
          <w:p>
            <w:r>
              <w:rPr>
                <w:sz w:val="16"/>
              </w:rPr>
              <w:t>Phase 1 employee references</w:t>
            </w:r>
          </w:p>
        </w:tc>
        <w:tc>
          <w:tcPr>
            <w:tcW w:type="dxa" w:w="4320"/>
            <w:vAlign w:val="center"/>
          </w:tcPr>
          <w:p>
            <w:r>
              <w:rPr>
                <w:sz w:val="16"/>
              </w:rPr>
              <w:t>PASS - all NULL</w:t>
            </w:r>
          </w:p>
        </w:tc>
      </w:tr>
      <w:tr>
        <w:tc>
          <w:tcPr>
            <w:tcW w:type="dxa" w:w="5040"/>
            <w:vAlign w:val="center"/>
          </w:tcPr>
          <w:p>
            <w:r>
              <w:rPr>
                <w:sz w:val="16"/>
              </w:rPr>
              <w:t>Positive amounts</w:t>
            </w:r>
          </w:p>
        </w:tc>
        <w:tc>
          <w:tcPr>
            <w:tcW w:type="dxa" w:w="4320"/>
            <w:vAlign w:val="center"/>
          </w:tcPr>
          <w:p>
            <w:r>
              <w:rPr>
                <w:sz w:val="16"/>
              </w:rPr>
              <w:t>PASS</w:t>
            </w:r>
          </w:p>
        </w:tc>
      </w:tr>
      <w:tr>
        <w:tc>
          <w:tcPr>
            <w:tcW w:type="dxa" w:w="5040"/>
            <w:vAlign w:val="center"/>
          </w:tcPr>
          <w:p>
            <w:r>
              <w:rPr>
                <w:sz w:val="16"/>
              </w:rPr>
              <w:t>Marcelle used after sabbatical start</w:t>
            </w:r>
          </w:p>
        </w:tc>
        <w:tc>
          <w:tcPr>
            <w:tcW w:type="dxa" w:w="4320"/>
            <w:vAlign w:val="center"/>
          </w:tcPr>
          <w:p>
            <w:r>
              <w:rPr>
                <w:sz w:val="16"/>
              </w:rPr>
              <w:t>PASS - 0 rows</w:t>
            </w:r>
          </w:p>
        </w:tc>
      </w:tr>
      <w:tr>
        <w:tc>
          <w:tcPr>
            <w:tcW w:type="dxa" w:w="5040"/>
            <w:vAlign w:val="center"/>
          </w:tcPr>
          <w:p>
            <w:r>
              <w:rPr>
                <w:sz w:val="16"/>
              </w:rPr>
              <w:t>Self-approved expenses</w:t>
            </w:r>
          </w:p>
        </w:tc>
        <w:tc>
          <w:tcPr>
            <w:tcW w:type="dxa" w:w="4320"/>
            <w:vAlign w:val="center"/>
          </w:tcPr>
          <w:p>
            <w:r>
              <w:rPr>
                <w:sz w:val="16"/>
              </w:rPr>
              <w:t>PASS - 0 rows</w:t>
            </w:r>
          </w:p>
        </w:tc>
      </w:tr>
      <w:tr>
        <w:tc>
          <w:tcPr>
            <w:tcW w:type="dxa" w:w="5040"/>
            <w:vAlign w:val="center"/>
          </w:tcPr>
          <w:p>
            <w:r>
              <w:rPr>
                <w:sz w:val="16"/>
              </w:rPr>
              <w:t>Exercise-specific seeded rows</w:t>
            </w:r>
          </w:p>
        </w:tc>
        <w:tc>
          <w:tcPr>
            <w:tcW w:type="dxa" w:w="4320"/>
            <w:vAlign w:val="center"/>
          </w:tcPr>
          <w:p>
            <w:r>
              <w:rPr>
                <w:sz w:val="16"/>
              </w:rPr>
              <w:t>PASS - 0</w:t>
            </w:r>
          </w:p>
        </w:tc>
      </w:tr>
      <w:tr>
        <w:tc>
          <w:tcPr>
            <w:tcW w:type="dxa" w:w="5040"/>
            <w:vAlign w:val="center"/>
          </w:tcPr>
          <w:p>
            <w:r>
              <w:rPr>
                <w:sz w:val="16"/>
              </w:rPr>
              <w:t>NULL requesters</w:t>
            </w:r>
          </w:p>
        </w:tc>
        <w:tc>
          <w:tcPr>
            <w:tcW w:type="dxa" w:w="4320"/>
            <w:vAlign w:val="center"/>
          </w:tcPr>
          <w:p>
            <w:r>
              <w:rPr>
                <w:sz w:val="16"/>
              </w:rPr>
              <w:t>121</w:t>
            </w:r>
          </w:p>
        </w:tc>
      </w:tr>
      <w:tr>
        <w:tc>
          <w:tcPr>
            <w:tcW w:type="dxa" w:w="5040"/>
            <w:vAlign w:val="center"/>
          </w:tcPr>
          <w:p>
            <w:r>
              <w:rPr>
                <w:sz w:val="16"/>
              </w:rPr>
              <w:t>NULL approvers</w:t>
            </w:r>
          </w:p>
        </w:tc>
        <w:tc>
          <w:tcPr>
            <w:tcW w:type="dxa" w:w="4320"/>
            <w:vAlign w:val="center"/>
          </w:tcPr>
          <w:p>
            <w:r>
              <w:rPr>
                <w:sz w:val="16"/>
              </w:rPr>
              <w:t>147</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SQLValley / HeriShare - Expenses dataset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