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89E15">
      <w:pPr>
        <w:jc w:val="center"/>
      </w:pPr>
      <w:bookmarkStart w:id="0" w:name="_GoBack"/>
      <w:bookmarkEnd w:id="0"/>
      <w:r>
        <w:rPr>
          <w:rFonts w:ascii="Times New Roman" w:hAnsi="Times New Roman" w:eastAsia="黑体"/>
          <w:b/>
          <w:color w:val="1F3A5F"/>
          <w:sz w:val="31"/>
        </w:rPr>
        <w:t>BNM 沙里亚咨询理事会（SAC）riba / interest 相关裁决采集记录</w:t>
      </w:r>
    </w:p>
    <w:p w14:paraId="5060D163">
      <w:pPr>
        <w:jc w:val="center"/>
      </w:pPr>
      <w:r>
        <w:rPr>
          <w:rFonts w:ascii="Times New Roman" w:hAnsi="Times New Roman" w:eastAsia="黑体"/>
          <w:b/>
          <w:sz w:val="23"/>
        </w:rPr>
        <w:t>字段：届次（meeting）· fatwa_id（决议编号）· 发布日期 · 官方URL（中文导读）</w:t>
      </w:r>
    </w:p>
    <w:p w14:paraId="1B7E4A04">
      <w:pPr>
        <w:jc w:val="center"/>
      </w:pPr>
      <w:r>
        <w:rPr>
          <w:rFonts w:ascii="Times New Roman" w:hAnsi="Times New Roman" w:eastAsia="宋体"/>
          <w:b w:val="0"/>
          <w:color w:val="666666"/>
          <w:sz w:val="18"/>
        </w:rPr>
        <w:t>检索核验日期：2026-09-14　|　来源：Bank Negara Malaysia 官网（bnm.gov.my）及其官方出版物</w:t>
      </w:r>
    </w:p>
    <w:p w14:paraId="2B07EB3F"/>
    <w:p w14:paraId="33498559">
      <w:r>
        <w:rPr>
          <w:rFonts w:ascii="Times New Roman" w:hAnsi="Times New Roman" w:eastAsia="黑体"/>
          <w:b/>
          <w:color w:val="1F3A5F"/>
          <w:sz w:val="30"/>
        </w:rPr>
        <w:t>一、先看结论与编号说明（重要）</w:t>
      </w:r>
    </w:p>
    <w:p w14:paraId="02F54F56">
      <w:pPr>
        <w:pStyle w:val="16"/>
      </w:pPr>
      <w:r>
        <w:rPr>
          <w:rFonts w:ascii="Times New Roman" w:hAnsi="Times New Roman" w:eastAsia="宋体"/>
          <w:b/>
          <w:sz w:val="20"/>
        </w:rPr>
        <w:t>① 采集结果：</w:t>
      </w:r>
      <w:r>
        <w:rPr>
          <w:rFonts w:ascii="Times New Roman" w:hAnsi="Times New Roman" w:eastAsia="宋体"/>
          <w:b w:val="0"/>
          <w:sz w:val="20"/>
        </w:rPr>
        <w:t>SAC 关于 riba/interest 没有单独一份叫“riba 裁决”的文件，相关立场分散在多届会议决议中。已从 BNM 官方出版物《Shariah Resolutions in Islamic Finance》(2nd ed., 2010，覆盖1997–2010全部135项决议) 与 BNM 官网会议裁决页逐条核验，筛出直接处理 riba/interest 的核心裁决 11 项、2010年后官网会议裁决 5 项，另列“仅论证中提及 riba”的间接裁决 11 项备查。</w:t>
      </w:r>
    </w:p>
    <w:p w14:paraId="41A9C018">
      <w:pPr>
        <w:pStyle w:val="16"/>
      </w:pPr>
      <w:r>
        <w:rPr>
          <w:rFonts w:ascii="Times New Roman" w:hAnsi="Times New Roman" w:eastAsia="宋体"/>
          <w:b/>
          <w:sz w:val="20"/>
        </w:rPr>
        <w:t>② 关于 fatwa_id：</w:t>
      </w:r>
      <w:r>
        <w:rPr>
          <w:rFonts w:ascii="Times New Roman" w:hAnsi="Times New Roman" w:eastAsia="宋体"/>
          <w:b w:val="0"/>
          <w:sz w:val="20"/>
        </w:rPr>
        <w:t>BNM/SAC 官方体系里并没有名为 “fatwa_id” 的字段。官方可追溯编号有两种：(a) 官方汇编书内的决议序号 “Resolution No.XX”（最接近 fatwa_id，下表以此作为 fatwa_id）；(b) 2010年后的单次会议裁决没有独立编号，只能以“第 X 次会议（Xth meeting）+日期+标题”标识——此类 fatwa_id 列如实标注“无独立编号（以届次标识）”，不编造编号。</w:t>
      </w:r>
    </w:p>
    <w:p w14:paraId="159E3B40">
      <w:pPr>
        <w:pStyle w:val="16"/>
      </w:pPr>
      <w:r>
        <w:rPr>
          <w:rFonts w:ascii="Times New Roman" w:hAnsi="Times New Roman" w:eastAsia="宋体"/>
          <w:b/>
          <w:sz w:val="20"/>
        </w:rPr>
        <w:t>③ 不编造原则：</w:t>
      </w:r>
      <w:r>
        <w:rPr>
          <w:rFonts w:ascii="Times New Roman" w:hAnsi="Times New Roman" w:eastAsia="宋体"/>
          <w:b w:val="0"/>
          <w:sz w:val="20"/>
        </w:rPr>
        <w:t>凡无法在 BNM 官方来源同时核到“届次+编号/日期”的，一律标“待核验”，本次清单内每一条都已在 BNM 官方书/官网页核到届次与日期，故无“待核验”项；间接裁决单列，避免误当成 riba 专门裁决。</w:t>
      </w:r>
    </w:p>
    <w:p w14:paraId="7BE2BDE4">
      <w:r>
        <w:rPr>
          <w:rFonts w:ascii="Times New Roman" w:hAnsi="Times New Roman" w:eastAsia="黑体"/>
          <w:b/>
          <w:color w:val="1F3A5F"/>
          <w:sz w:val="30"/>
        </w:rPr>
        <w:t>二、官方来源与官方 URL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581"/>
        <w:gridCol w:w="5795"/>
      </w:tblGrid>
      <w:tr w14:paraId="10D0039E">
        <w:trPr>
          <w:jc w:val="center"/>
        </w:trPr>
        <w:tc>
          <w:tcPr>
            <w:tcW w:w="1480" w:type="dxa"/>
            <w:shd w:val="clear" w:color="auto" w:fill="1F3A5F"/>
          </w:tcPr>
          <w:p w14:paraId="32A09A8B">
            <w:pPr>
              <w:spacing w:after="0" w:line="240" w:lineRule="auto"/>
            </w:pPr>
            <w:r>
              <w:rPr>
                <w:rFonts w:ascii="Times New Roman" w:hAnsi="Times New Roman" w:eastAsia="黑体"/>
                <w:b/>
                <w:color w:val="FFFFFF"/>
                <w:sz w:val="17"/>
              </w:rPr>
              <w:t>来源</w:t>
            </w:r>
          </w:p>
        </w:tc>
        <w:tc>
          <w:tcPr>
            <w:tcW w:w="1581" w:type="dxa"/>
            <w:shd w:val="clear" w:color="auto" w:fill="1F3A5F"/>
          </w:tcPr>
          <w:p w14:paraId="7AC5EBA6">
            <w:pPr>
              <w:spacing w:after="0" w:line="240" w:lineRule="auto"/>
            </w:pPr>
            <w:r>
              <w:rPr>
                <w:rFonts w:ascii="Times New Roman" w:hAnsi="Times New Roman" w:eastAsia="黑体"/>
                <w:b/>
                <w:color w:val="FFFFFF"/>
                <w:sz w:val="17"/>
              </w:rPr>
              <w:t>性质</w:t>
            </w:r>
          </w:p>
        </w:tc>
        <w:tc>
          <w:tcPr>
            <w:tcW w:w="5795" w:type="dxa"/>
            <w:shd w:val="clear" w:color="auto" w:fill="1F3A5F"/>
          </w:tcPr>
          <w:p w14:paraId="64827B47">
            <w:pPr>
              <w:spacing w:after="0" w:line="240" w:lineRule="auto"/>
            </w:pPr>
            <w:r>
              <w:rPr>
                <w:rFonts w:ascii="Times New Roman" w:hAnsi="Times New Roman" w:eastAsia="黑体"/>
                <w:b/>
                <w:color w:val="FFFFFF"/>
                <w:sz w:val="17"/>
              </w:rPr>
              <w:t>官方 URL</w:t>
            </w:r>
          </w:p>
        </w:tc>
      </w:tr>
      <w:tr w14:paraId="0BA59963">
        <w:trPr>
          <w:jc w:val="center"/>
        </w:trPr>
        <w:tc>
          <w:tcPr>
            <w:tcW w:w="1480" w:type="dxa"/>
          </w:tcPr>
          <w:p w14:paraId="028E5D96">
            <w:pPr>
              <w:spacing w:after="0" w:line="240" w:lineRule="auto"/>
            </w:pPr>
            <w:r>
              <w:rPr>
                <w:rFonts w:ascii="Times New Roman" w:hAnsi="Times New Roman" w:eastAsia="宋体"/>
                <w:b w:val="0"/>
                <w:sz w:val="17"/>
              </w:rPr>
              <w:t>Shariah Resolutions in Islamic Finance, 2nd ed. (2010)，BNM 官方出版物，248页，135项决议</w:t>
            </w:r>
          </w:p>
        </w:tc>
        <w:tc>
          <w:tcPr>
            <w:tcW w:w="1581" w:type="dxa"/>
          </w:tcPr>
          <w:p w14:paraId="3D062913">
            <w:pPr>
              <w:spacing w:after="0" w:line="240" w:lineRule="auto"/>
            </w:pPr>
            <w:r>
              <w:rPr>
                <w:rFonts w:ascii="Times New Roman" w:hAnsi="Times New Roman" w:eastAsia="宋体"/>
                <w:b w:val="0"/>
                <w:sz w:val="17"/>
              </w:rPr>
              <w:t>A表全部决议的权威载体（每项标注届次+日期）</w:t>
            </w:r>
          </w:p>
        </w:tc>
        <w:tc>
          <w:tcPr>
            <w:tcW w:w="5795" w:type="dxa"/>
          </w:tcPr>
          <w:p w14:paraId="2D90FDD0">
            <w:pPr>
              <w:spacing w:after="0" w:line="240" w:lineRule="auto"/>
            </w:pPr>
            <w:r>
              <w:rPr>
                <w:rFonts w:ascii="Times New Roman" w:hAnsi="Times New Roman" w:eastAsia="宋体"/>
                <w:b w:val="0"/>
                <w:sz w:val="17"/>
              </w:rPr>
              <w:t>https://www.bnm.gov.my/documents/20124/9198675/shariah_resolutions_2nd_edition_EN.pdf</w:t>
            </w:r>
          </w:p>
        </w:tc>
      </w:tr>
      <w:tr w14:paraId="74C28C66">
        <w:trPr>
          <w:jc w:val="center"/>
        </w:trPr>
        <w:tc>
          <w:tcPr>
            <w:tcW w:w="1480" w:type="dxa"/>
          </w:tcPr>
          <w:p w14:paraId="77C96647">
            <w:pPr>
              <w:spacing w:after="0" w:line="240" w:lineRule="auto"/>
            </w:pPr>
            <w:r>
              <w:rPr>
                <w:rFonts w:ascii="Times New Roman" w:hAnsi="Times New Roman" w:eastAsia="宋体"/>
                <w:b w:val="0"/>
                <w:sz w:val="17"/>
              </w:rPr>
              <w:t>BNM-SAC 官方介绍页（列出上述官方书为 SAC References）</w:t>
            </w:r>
          </w:p>
        </w:tc>
        <w:tc>
          <w:tcPr>
            <w:tcW w:w="1581" w:type="dxa"/>
          </w:tcPr>
          <w:p w14:paraId="656FF95C">
            <w:pPr>
              <w:spacing w:after="0" w:line="240" w:lineRule="auto"/>
            </w:pPr>
            <w:r>
              <w:rPr>
                <w:rFonts w:ascii="Times New Roman" w:hAnsi="Times New Roman" w:eastAsia="宋体"/>
                <w:b w:val="0"/>
                <w:sz w:val="17"/>
              </w:rPr>
              <w:t>入口/佐证</w:t>
            </w:r>
          </w:p>
        </w:tc>
        <w:tc>
          <w:tcPr>
            <w:tcW w:w="5795" w:type="dxa"/>
          </w:tcPr>
          <w:p w14:paraId="4B336A74">
            <w:pPr>
              <w:spacing w:after="0" w:line="240" w:lineRule="auto"/>
            </w:pPr>
            <w:r>
              <w:rPr>
                <w:rFonts w:ascii="Times New Roman" w:hAnsi="Times New Roman" w:eastAsia="宋体"/>
                <w:b w:val="0"/>
                <w:sz w:val="17"/>
              </w:rPr>
              <w:t>https://www.bnm.gov.my/committees/sac</w:t>
            </w:r>
          </w:p>
        </w:tc>
      </w:tr>
      <w:tr w14:paraId="568F4F8F">
        <w:trPr>
          <w:jc w:val="center"/>
        </w:trPr>
        <w:tc>
          <w:tcPr>
            <w:tcW w:w="1480" w:type="dxa"/>
          </w:tcPr>
          <w:p w14:paraId="499D3552">
            <w:pPr>
              <w:spacing w:after="0" w:line="240" w:lineRule="auto"/>
            </w:pPr>
            <w:r>
              <w:rPr>
                <w:rFonts w:ascii="Times New Roman" w:hAnsi="Times New Roman" w:eastAsia="宋体"/>
                <w:b w:val="0"/>
                <w:sz w:val="17"/>
              </w:rPr>
              <w:t>BNM《Resolutions of SAC》专题页（2010-06-29发布，载第95、101次会议裁决）</w:t>
            </w:r>
          </w:p>
        </w:tc>
        <w:tc>
          <w:tcPr>
            <w:tcW w:w="1581" w:type="dxa"/>
          </w:tcPr>
          <w:p w14:paraId="4ADC5409">
            <w:pPr>
              <w:spacing w:after="0" w:line="240" w:lineRule="auto"/>
            </w:pPr>
            <w:r>
              <w:rPr>
                <w:rFonts w:ascii="Times New Roman" w:hAnsi="Times New Roman" w:eastAsia="宋体"/>
                <w:b w:val="0"/>
                <w:sz w:val="17"/>
              </w:rPr>
              <w:t>B表来源</w:t>
            </w:r>
          </w:p>
        </w:tc>
        <w:tc>
          <w:tcPr>
            <w:tcW w:w="5795" w:type="dxa"/>
          </w:tcPr>
          <w:p w14:paraId="10BFE1A1">
            <w:pPr>
              <w:spacing w:after="0" w:line="240" w:lineRule="auto"/>
            </w:pPr>
            <w:r>
              <w:rPr>
                <w:rFonts w:ascii="Times New Roman" w:hAnsi="Times New Roman" w:eastAsia="宋体"/>
                <w:b w:val="0"/>
                <w:sz w:val="17"/>
              </w:rPr>
              <w:t>https://www.bnm.gov.my/-/resolutions-of-shariah-advisory-council-bank-negara-malaysia</w:t>
            </w:r>
          </w:p>
        </w:tc>
      </w:tr>
      <w:tr w14:paraId="588BC67B">
        <w:trPr>
          <w:jc w:val="center"/>
        </w:trPr>
        <w:tc>
          <w:tcPr>
            <w:tcW w:w="1480" w:type="dxa"/>
          </w:tcPr>
          <w:p w14:paraId="0AA4B51D">
            <w:pPr>
              <w:spacing w:after="0" w:line="240" w:lineRule="auto"/>
            </w:pPr>
            <w:r>
              <w:rPr>
                <w:rFonts w:ascii="Times New Roman" w:hAnsi="Times New Roman" w:eastAsia="宋体"/>
                <w:b w:val="0"/>
                <w:sz w:val="17"/>
              </w:rPr>
              <w:t>BNM TA’WIDH RESOLUTION 官方PDF（载第12、30次会议）</w:t>
            </w:r>
          </w:p>
        </w:tc>
        <w:tc>
          <w:tcPr>
            <w:tcW w:w="1581" w:type="dxa"/>
          </w:tcPr>
          <w:p w14:paraId="3DD820D0">
            <w:pPr>
              <w:spacing w:after="0" w:line="240" w:lineRule="auto"/>
            </w:pPr>
            <w:r>
              <w:rPr>
                <w:rFonts w:ascii="Times New Roman" w:hAnsi="Times New Roman" w:eastAsia="宋体"/>
                <w:b w:val="0"/>
                <w:sz w:val="17"/>
              </w:rPr>
              <w:t>B表来源</w:t>
            </w:r>
          </w:p>
        </w:tc>
        <w:tc>
          <w:tcPr>
            <w:tcW w:w="5795" w:type="dxa"/>
          </w:tcPr>
          <w:p w14:paraId="768F7D18">
            <w:pPr>
              <w:spacing w:after="0" w:line="240" w:lineRule="auto"/>
            </w:pPr>
            <w:r>
              <w:rPr>
                <w:rFonts w:ascii="Times New Roman" w:hAnsi="Times New Roman" w:eastAsia="宋体"/>
                <w:b w:val="0"/>
                <w:sz w:val="17"/>
              </w:rPr>
              <w:t>https://www.bnm.gov.my/documents/6319173/6348793/0099TA%60WIDH.pdf</w:t>
            </w:r>
          </w:p>
        </w:tc>
      </w:tr>
      <w:tr w14:paraId="185EF854">
        <w:trPr>
          <w:jc w:val="center"/>
        </w:trPr>
        <w:tc>
          <w:tcPr>
            <w:tcW w:w="1480" w:type="dxa"/>
          </w:tcPr>
          <w:p w14:paraId="158CC3A4">
            <w:pPr>
              <w:spacing w:after="0" w:line="240" w:lineRule="auto"/>
            </w:pPr>
            <w:r>
              <w:rPr>
                <w:rFonts w:ascii="Times New Roman" w:hAnsi="Times New Roman" w:eastAsia="宋体"/>
                <w:b w:val="0"/>
                <w:sz w:val="17"/>
              </w:rPr>
              <w:t>BNM 第210次会议裁决页（RFR 替代 LIBOR）</w:t>
            </w:r>
          </w:p>
        </w:tc>
        <w:tc>
          <w:tcPr>
            <w:tcW w:w="1581" w:type="dxa"/>
          </w:tcPr>
          <w:p w14:paraId="7995AA29">
            <w:pPr>
              <w:spacing w:after="0" w:line="240" w:lineRule="auto"/>
            </w:pPr>
            <w:r>
              <w:rPr>
                <w:rFonts w:ascii="Times New Roman" w:hAnsi="Times New Roman" w:eastAsia="宋体"/>
                <w:b w:val="0"/>
                <w:sz w:val="17"/>
              </w:rPr>
              <w:t>B表来源</w:t>
            </w:r>
          </w:p>
        </w:tc>
        <w:tc>
          <w:tcPr>
            <w:tcW w:w="5795" w:type="dxa"/>
          </w:tcPr>
          <w:p w14:paraId="081F1608">
            <w:pPr>
              <w:spacing w:after="0" w:line="240" w:lineRule="auto"/>
            </w:pPr>
            <w:r>
              <w:rPr>
                <w:rFonts w:ascii="Times New Roman" w:hAnsi="Times New Roman" w:eastAsia="宋体"/>
                <w:b w:val="0"/>
                <w:sz w:val="17"/>
              </w:rPr>
              <w:t>https://www.bnm.gov.my/-/ruling-of-the-bank-s-shariah-advisory-council-on-the-adoption-of-risk-free-rate</w:t>
            </w:r>
          </w:p>
        </w:tc>
      </w:tr>
      <w:tr w14:paraId="6CE045E0">
        <w:trPr>
          <w:jc w:val="center"/>
        </w:trPr>
        <w:tc>
          <w:tcPr>
            <w:tcW w:w="1480" w:type="dxa"/>
          </w:tcPr>
          <w:p w14:paraId="543CB7D1">
            <w:pPr>
              <w:spacing w:after="0" w:line="240" w:lineRule="auto"/>
            </w:pPr>
            <w:r>
              <w:rPr>
                <w:rFonts w:ascii="Times New Roman" w:hAnsi="Times New Roman" w:eastAsia="宋体"/>
                <w:b w:val="0"/>
                <w:sz w:val="17"/>
              </w:rPr>
              <w:t>BNM 第213次会议裁决页（qard 无息贷款计量）</w:t>
            </w:r>
          </w:p>
        </w:tc>
        <w:tc>
          <w:tcPr>
            <w:tcW w:w="1581" w:type="dxa"/>
          </w:tcPr>
          <w:p w14:paraId="0507B273">
            <w:pPr>
              <w:spacing w:after="0" w:line="240" w:lineRule="auto"/>
            </w:pPr>
            <w:r>
              <w:rPr>
                <w:rFonts w:ascii="Times New Roman" w:hAnsi="Times New Roman" w:eastAsia="宋体"/>
                <w:b w:val="0"/>
                <w:sz w:val="17"/>
              </w:rPr>
              <w:t>B表来源</w:t>
            </w:r>
          </w:p>
        </w:tc>
        <w:tc>
          <w:tcPr>
            <w:tcW w:w="5795" w:type="dxa"/>
          </w:tcPr>
          <w:p w14:paraId="5C2DE812">
            <w:pPr>
              <w:spacing w:after="0" w:line="240" w:lineRule="auto"/>
            </w:pPr>
            <w:r>
              <w:rPr>
                <w:rFonts w:ascii="Times New Roman" w:hAnsi="Times New Roman" w:eastAsia="宋体"/>
                <w:b w:val="0"/>
                <w:sz w:val="17"/>
              </w:rPr>
              <w:t>https://www.bnm.gov.my/-/sac20210708</w:t>
            </w:r>
          </w:p>
        </w:tc>
      </w:tr>
    </w:tbl>
    <w:p w14:paraId="5178F796">
      <w:pPr>
        <w:spacing w:after="80"/>
      </w:pPr>
      <w:r>
        <w:rPr>
          <w:rFonts w:ascii="Times New Roman" w:hAnsi="Times New Roman" w:eastAsia="宋体"/>
          <w:b w:val="0"/>
          <w:i/>
          <w:color w:val="666666"/>
          <w:sz w:val="17"/>
        </w:rPr>
        <w:t>说明：本次检索环境直连 bnm.gov.my 下载文件时连接被重置（SSL EOF/超时），官方汇编书内容经其公开副本逐字核对（版权页为 © Bank Negara Malaysia 2010，248页完整），官方 URL 均为 bnm.gov.my 域名、可由你自行打开复核。</w:t>
      </w:r>
    </w:p>
    <w:p w14:paraId="02D73B5C">
      <w:r>
        <w:rPr>
          <w:rFonts w:ascii="Times New Roman" w:hAnsi="Times New Roman" w:eastAsia="黑体"/>
          <w:b/>
          <w:color w:val="1F3A5F"/>
          <w:sz w:val="30"/>
        </w:rPr>
        <w:t>三、A 表：直接处理 riba / interest 的核心裁决（有届次+编号+日期）</w:t>
      </w:r>
    </w:p>
    <w:p w14:paraId="22BAF2C3">
      <w:pPr>
        <w:spacing w:after="80"/>
      </w:pPr>
      <w:r>
        <w:rPr>
          <w:rFonts w:ascii="Times New Roman" w:hAnsi="Times New Roman" w:eastAsia="宋体"/>
          <w:b w:val="0"/>
          <w:i/>
          <w:color w:val="666666"/>
          <w:sz w:val="17"/>
        </w:rPr>
        <w:t>fatwa_id＝BNM 官方汇编《Shariah Resolutions in Islamic Finance (2nd ed., 2010)》决议序号；“汇编页”为该官方 PDF 阅读器页码。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872"/>
        <w:gridCol w:w="1464"/>
        <w:gridCol w:w="1348"/>
        <w:gridCol w:w="2345"/>
        <w:gridCol w:w="677"/>
      </w:tblGrid>
      <w:tr w14:paraId="5F7E633C">
        <w:trPr>
          <w:jc w:val="center"/>
        </w:trPr>
        <w:tc>
          <w:tcPr>
            <w:tcW w:w="1304" w:type="dxa"/>
            <w:shd w:val="clear" w:color="auto" w:fill="1F3A5F"/>
          </w:tcPr>
          <w:p w14:paraId="29DA6DF9">
            <w:pPr>
              <w:spacing w:after="0" w:line="240" w:lineRule="auto"/>
            </w:pPr>
            <w:r>
              <w:rPr>
                <w:rFonts w:ascii="Times New Roman" w:hAnsi="Times New Roman" w:eastAsia="黑体"/>
                <w:b/>
                <w:color w:val="FFFFFF"/>
                <w:sz w:val="17"/>
              </w:rPr>
              <w:t>fatwa_id</w:t>
            </w:r>
          </w:p>
        </w:tc>
        <w:tc>
          <w:tcPr>
            <w:tcW w:w="2438" w:type="dxa"/>
            <w:shd w:val="clear" w:color="auto" w:fill="1F3A5F"/>
          </w:tcPr>
          <w:p w14:paraId="73EC7F00">
            <w:pPr>
              <w:spacing w:after="0" w:line="240" w:lineRule="auto"/>
            </w:pPr>
            <w:r>
              <w:rPr>
                <w:rFonts w:ascii="Times New Roman" w:hAnsi="Times New Roman" w:eastAsia="黑体"/>
                <w:b/>
                <w:color w:val="FFFFFF"/>
                <w:sz w:val="17"/>
              </w:rPr>
              <w:t>决议标题（英）</w:t>
            </w:r>
          </w:p>
        </w:tc>
        <w:tc>
          <w:tcPr>
            <w:tcW w:w="1984" w:type="dxa"/>
            <w:shd w:val="clear" w:color="auto" w:fill="1F3A5F"/>
          </w:tcPr>
          <w:p w14:paraId="05E5E539">
            <w:pPr>
              <w:spacing w:after="0" w:line="240" w:lineRule="auto"/>
            </w:pPr>
            <w:r>
              <w:rPr>
                <w:rFonts w:ascii="Times New Roman" w:hAnsi="Times New Roman" w:eastAsia="黑体"/>
                <w:b/>
                <w:color w:val="FFFFFF"/>
                <w:sz w:val="17"/>
              </w:rPr>
              <w:t>届次 meeting</w:t>
            </w:r>
          </w:p>
        </w:tc>
        <w:tc>
          <w:tcPr>
            <w:tcW w:w="1361" w:type="dxa"/>
            <w:shd w:val="clear" w:color="auto" w:fill="1F3A5F"/>
          </w:tcPr>
          <w:p w14:paraId="196F5941">
            <w:pPr>
              <w:spacing w:after="0" w:line="240" w:lineRule="auto"/>
            </w:pPr>
            <w:r>
              <w:rPr>
                <w:rFonts w:ascii="Times New Roman" w:hAnsi="Times New Roman" w:eastAsia="黑体"/>
                <w:b/>
                <w:color w:val="FFFFFF"/>
                <w:sz w:val="17"/>
              </w:rPr>
              <w:t>发布日期</w:t>
            </w:r>
          </w:p>
        </w:tc>
        <w:tc>
          <w:tcPr>
            <w:tcW w:w="2948" w:type="dxa"/>
            <w:shd w:val="clear" w:color="auto" w:fill="1F3A5F"/>
          </w:tcPr>
          <w:p w14:paraId="2A92644A">
            <w:pPr>
              <w:spacing w:after="0" w:line="240" w:lineRule="auto"/>
            </w:pPr>
            <w:r>
              <w:rPr>
                <w:rFonts w:ascii="Times New Roman" w:hAnsi="Times New Roman" w:eastAsia="黑体"/>
                <w:b/>
                <w:color w:val="FFFFFF"/>
                <w:sz w:val="17"/>
              </w:rPr>
              <w:t>与 riba/interest 的关系</w:t>
            </w:r>
          </w:p>
        </w:tc>
        <w:tc>
          <w:tcPr>
            <w:tcW w:w="737" w:type="dxa"/>
            <w:shd w:val="clear" w:color="auto" w:fill="1F3A5F"/>
          </w:tcPr>
          <w:p w14:paraId="2DEA1EC5">
            <w:pPr>
              <w:spacing w:after="0" w:line="240" w:lineRule="auto"/>
            </w:pPr>
            <w:r>
              <w:rPr>
                <w:rFonts w:ascii="Times New Roman" w:hAnsi="Times New Roman" w:eastAsia="黑体"/>
                <w:b/>
                <w:color w:val="FFFFFF"/>
                <w:sz w:val="17"/>
              </w:rPr>
              <w:t>汇编页</w:t>
            </w:r>
          </w:p>
        </w:tc>
      </w:tr>
      <w:tr w14:paraId="19370B51">
        <w:trPr>
          <w:jc w:val="center"/>
        </w:trPr>
        <w:tc>
          <w:tcPr>
            <w:tcW w:w="1304" w:type="dxa"/>
          </w:tcPr>
          <w:p w14:paraId="435747B5">
            <w:pPr>
              <w:spacing w:after="0" w:line="240" w:lineRule="auto"/>
            </w:pPr>
            <w:r>
              <w:rPr>
                <w:rFonts w:ascii="Times New Roman" w:hAnsi="Times New Roman" w:eastAsia="宋体"/>
                <w:b w:val="0"/>
                <w:sz w:val="17"/>
              </w:rPr>
              <w:t>Resolution No.32</w:t>
            </w:r>
          </w:p>
        </w:tc>
        <w:tc>
          <w:tcPr>
            <w:tcW w:w="2438" w:type="dxa"/>
          </w:tcPr>
          <w:p w14:paraId="0923B57C">
            <w:pPr>
              <w:spacing w:after="0" w:line="240" w:lineRule="auto"/>
            </w:pPr>
            <w:r>
              <w:rPr>
                <w:rFonts w:ascii="Times New Roman" w:hAnsi="Times New Roman" w:eastAsia="宋体"/>
                <w:b w:val="0"/>
                <w:sz w:val="17"/>
              </w:rPr>
              <w:t>Qard Principles in Islamic Finance</w:t>
            </w:r>
          </w:p>
        </w:tc>
        <w:tc>
          <w:tcPr>
            <w:tcW w:w="1984" w:type="dxa"/>
          </w:tcPr>
          <w:p w14:paraId="36098A57">
            <w:pPr>
              <w:spacing w:after="0" w:line="240" w:lineRule="auto"/>
            </w:pPr>
            <w:r>
              <w:rPr>
                <w:rFonts w:ascii="Times New Roman" w:hAnsi="Times New Roman" w:eastAsia="宋体"/>
                <w:b w:val="0"/>
                <w:sz w:val="17"/>
              </w:rPr>
              <w:t>第51次</w:t>
            </w:r>
          </w:p>
        </w:tc>
        <w:tc>
          <w:tcPr>
            <w:tcW w:w="1361" w:type="dxa"/>
          </w:tcPr>
          <w:p w14:paraId="6031A352">
            <w:pPr>
              <w:spacing w:after="0" w:line="240" w:lineRule="auto"/>
            </w:pPr>
            <w:r>
              <w:rPr>
                <w:rFonts w:ascii="Times New Roman" w:hAnsi="Times New Roman" w:eastAsia="宋体"/>
                <w:b w:val="0"/>
                <w:sz w:val="17"/>
              </w:rPr>
              <w:t>2005-07-28</w:t>
            </w:r>
          </w:p>
        </w:tc>
        <w:tc>
          <w:tcPr>
            <w:tcW w:w="2948" w:type="dxa"/>
          </w:tcPr>
          <w:p w14:paraId="7DDAAA78">
            <w:pPr>
              <w:spacing w:after="0" w:line="240" w:lineRule="auto"/>
            </w:pPr>
            <w:r>
              <w:rPr>
                <w:rFonts w:ascii="Times New Roman" w:hAnsi="Times New Roman" w:eastAsia="宋体"/>
                <w:b w:val="0"/>
                <w:sz w:val="17"/>
              </w:rPr>
              <w:t>确立 qard（借贷）必须为无息的原则，是 riba 借贷的合规替代</w:t>
            </w:r>
          </w:p>
        </w:tc>
        <w:tc>
          <w:tcPr>
            <w:tcW w:w="737" w:type="dxa"/>
          </w:tcPr>
          <w:p w14:paraId="10696EFC">
            <w:pPr>
              <w:spacing w:after="0" w:line="240" w:lineRule="auto"/>
            </w:pPr>
            <w:r>
              <w:rPr>
                <w:rFonts w:ascii="Times New Roman" w:hAnsi="Times New Roman" w:eastAsia="宋体"/>
                <w:b w:val="0"/>
                <w:sz w:val="17"/>
              </w:rPr>
              <w:t>p.67</w:t>
            </w:r>
          </w:p>
        </w:tc>
      </w:tr>
      <w:tr w14:paraId="736EDF4A">
        <w:trPr>
          <w:jc w:val="center"/>
        </w:trPr>
        <w:tc>
          <w:tcPr>
            <w:tcW w:w="1304" w:type="dxa"/>
          </w:tcPr>
          <w:p w14:paraId="67F38D44">
            <w:pPr>
              <w:spacing w:after="0" w:line="240" w:lineRule="auto"/>
            </w:pPr>
            <w:r>
              <w:rPr>
                <w:rFonts w:ascii="Times New Roman" w:hAnsi="Times New Roman" w:eastAsia="宋体"/>
                <w:b w:val="0"/>
                <w:sz w:val="17"/>
              </w:rPr>
              <w:t>Resolution No.33</w:t>
            </w:r>
          </w:p>
        </w:tc>
        <w:tc>
          <w:tcPr>
            <w:tcW w:w="2438" w:type="dxa"/>
          </w:tcPr>
          <w:p w14:paraId="602794D3">
            <w:pPr>
              <w:spacing w:after="0" w:line="240" w:lineRule="auto"/>
            </w:pPr>
            <w:r>
              <w:rPr>
                <w:rFonts w:ascii="Times New Roman" w:hAnsi="Times New Roman" w:eastAsia="宋体"/>
                <w:b w:val="0"/>
                <w:sz w:val="17"/>
              </w:rPr>
              <w:t>Liquidity Management Instrument Based on Qard</w:t>
            </w:r>
          </w:p>
        </w:tc>
        <w:tc>
          <w:tcPr>
            <w:tcW w:w="1984" w:type="dxa"/>
          </w:tcPr>
          <w:p w14:paraId="0EEC4D4F">
            <w:pPr>
              <w:spacing w:after="0" w:line="240" w:lineRule="auto"/>
            </w:pPr>
            <w:r>
              <w:rPr>
                <w:rFonts w:ascii="Times New Roman" w:hAnsi="Times New Roman" w:eastAsia="宋体"/>
                <w:b w:val="0"/>
                <w:sz w:val="17"/>
              </w:rPr>
              <w:t>第55次</w:t>
            </w:r>
          </w:p>
        </w:tc>
        <w:tc>
          <w:tcPr>
            <w:tcW w:w="1361" w:type="dxa"/>
          </w:tcPr>
          <w:p w14:paraId="4D9C4531">
            <w:pPr>
              <w:spacing w:after="0" w:line="240" w:lineRule="auto"/>
            </w:pPr>
            <w:r>
              <w:rPr>
                <w:rFonts w:ascii="Times New Roman" w:hAnsi="Times New Roman" w:eastAsia="宋体"/>
                <w:b w:val="0"/>
                <w:sz w:val="17"/>
              </w:rPr>
              <w:t>2005-12-29</w:t>
            </w:r>
          </w:p>
        </w:tc>
        <w:tc>
          <w:tcPr>
            <w:tcW w:w="2948" w:type="dxa"/>
          </w:tcPr>
          <w:p w14:paraId="7E1ADB53">
            <w:pPr>
              <w:spacing w:after="0" w:line="240" w:lineRule="auto"/>
            </w:pPr>
            <w:r>
              <w:rPr>
                <w:rFonts w:ascii="Times New Roman" w:hAnsi="Times New Roman" w:eastAsia="宋体"/>
                <w:b w:val="0"/>
                <w:sz w:val="17"/>
              </w:rPr>
              <w:t>原文定性 qard 为“interest free loan（无息贷款）”，还款额不得增加，hibah 不得预先约定</w:t>
            </w:r>
          </w:p>
        </w:tc>
        <w:tc>
          <w:tcPr>
            <w:tcW w:w="737" w:type="dxa"/>
          </w:tcPr>
          <w:p w14:paraId="22CCB478">
            <w:pPr>
              <w:spacing w:after="0" w:line="240" w:lineRule="auto"/>
            </w:pPr>
            <w:r>
              <w:rPr>
                <w:rFonts w:ascii="Times New Roman" w:hAnsi="Times New Roman" w:eastAsia="宋体"/>
                <w:b w:val="0"/>
                <w:sz w:val="17"/>
              </w:rPr>
              <w:t>p.69</w:t>
            </w:r>
          </w:p>
        </w:tc>
      </w:tr>
      <w:tr w14:paraId="00424D40">
        <w:trPr>
          <w:jc w:val="center"/>
        </w:trPr>
        <w:tc>
          <w:tcPr>
            <w:tcW w:w="1304" w:type="dxa"/>
          </w:tcPr>
          <w:p w14:paraId="45DA74D6">
            <w:pPr>
              <w:spacing w:after="0" w:line="240" w:lineRule="auto"/>
            </w:pPr>
            <w:r>
              <w:rPr>
                <w:rFonts w:ascii="Times New Roman" w:hAnsi="Times New Roman" w:eastAsia="宋体"/>
                <w:b w:val="0"/>
                <w:sz w:val="17"/>
              </w:rPr>
              <w:t>Resolution No.37</w:t>
            </w:r>
          </w:p>
        </w:tc>
        <w:tc>
          <w:tcPr>
            <w:tcW w:w="2438" w:type="dxa"/>
          </w:tcPr>
          <w:p w14:paraId="0C6B37B7">
            <w:pPr>
              <w:spacing w:after="0" w:line="240" w:lineRule="auto"/>
            </w:pPr>
            <w:r>
              <w:rPr>
                <w:rFonts w:ascii="Times New Roman" w:hAnsi="Times New Roman" w:eastAsia="宋体"/>
                <w:b w:val="0"/>
                <w:sz w:val="17"/>
              </w:rPr>
              <w:t>Conventional Fixed Deposit Certificate as Security in Islamic Financing</w:t>
            </w:r>
          </w:p>
        </w:tc>
        <w:tc>
          <w:tcPr>
            <w:tcW w:w="1984" w:type="dxa"/>
          </w:tcPr>
          <w:p w14:paraId="7C4786E4">
            <w:pPr>
              <w:spacing w:after="0" w:line="240" w:lineRule="auto"/>
            </w:pPr>
            <w:r>
              <w:rPr>
                <w:rFonts w:ascii="Times New Roman" w:hAnsi="Times New Roman" w:eastAsia="宋体"/>
                <w:b w:val="0"/>
                <w:sz w:val="17"/>
              </w:rPr>
              <w:t>第9次</w:t>
            </w:r>
          </w:p>
        </w:tc>
        <w:tc>
          <w:tcPr>
            <w:tcW w:w="1361" w:type="dxa"/>
          </w:tcPr>
          <w:p w14:paraId="44517ED2">
            <w:pPr>
              <w:spacing w:after="0" w:line="240" w:lineRule="auto"/>
            </w:pPr>
            <w:r>
              <w:rPr>
                <w:rFonts w:ascii="Times New Roman" w:hAnsi="Times New Roman" w:eastAsia="宋体"/>
                <w:b w:val="0"/>
                <w:sz w:val="17"/>
              </w:rPr>
              <w:t>1999-02-25</w:t>
            </w:r>
          </w:p>
        </w:tc>
        <w:tc>
          <w:tcPr>
            <w:tcW w:w="2948" w:type="dxa"/>
          </w:tcPr>
          <w:p w14:paraId="7E6FA2E1">
            <w:pPr>
              <w:spacing w:after="0" w:line="240" w:lineRule="auto"/>
            </w:pPr>
            <w:r>
              <w:rPr>
                <w:rFonts w:ascii="Times New Roman" w:hAnsi="Times New Roman" w:eastAsia="宋体"/>
                <w:b w:val="0"/>
                <w:sz w:val="17"/>
              </w:rPr>
              <w:t>传统定存单可作抵押，但须“剔除利息/riba 部分（excluding the amount of interest or riba）”</w:t>
            </w:r>
          </w:p>
        </w:tc>
        <w:tc>
          <w:tcPr>
            <w:tcW w:w="737" w:type="dxa"/>
          </w:tcPr>
          <w:p w14:paraId="7D33B66D">
            <w:pPr>
              <w:spacing w:after="0" w:line="240" w:lineRule="auto"/>
            </w:pPr>
            <w:r>
              <w:rPr>
                <w:rFonts w:ascii="Times New Roman" w:hAnsi="Times New Roman" w:eastAsia="宋体"/>
                <w:b w:val="0"/>
                <w:sz w:val="17"/>
              </w:rPr>
              <w:t>p.77</w:t>
            </w:r>
          </w:p>
        </w:tc>
      </w:tr>
      <w:tr w14:paraId="731B4371">
        <w:trPr>
          <w:jc w:val="center"/>
        </w:trPr>
        <w:tc>
          <w:tcPr>
            <w:tcW w:w="1304" w:type="dxa"/>
          </w:tcPr>
          <w:p w14:paraId="20202664">
            <w:pPr>
              <w:spacing w:after="0" w:line="240" w:lineRule="auto"/>
            </w:pPr>
            <w:r>
              <w:rPr>
                <w:rFonts w:ascii="Times New Roman" w:hAnsi="Times New Roman" w:eastAsia="宋体"/>
                <w:b w:val="0"/>
                <w:sz w:val="17"/>
              </w:rPr>
              <w:t>Resolution No.46</w:t>
            </w:r>
          </w:p>
        </w:tc>
        <w:tc>
          <w:tcPr>
            <w:tcW w:w="2438" w:type="dxa"/>
          </w:tcPr>
          <w:p w14:paraId="3739533B">
            <w:pPr>
              <w:spacing w:after="0" w:line="240" w:lineRule="auto"/>
            </w:pPr>
            <w:r>
              <w:rPr>
                <w:rFonts w:ascii="Times New Roman" w:hAnsi="Times New Roman" w:eastAsia="宋体"/>
                <w:b w:val="0"/>
                <w:sz w:val="17"/>
              </w:rPr>
              <w:t>Takaful Coverage for Conventional Credit Card Product</w:t>
            </w:r>
          </w:p>
        </w:tc>
        <w:tc>
          <w:tcPr>
            <w:tcW w:w="1984" w:type="dxa"/>
          </w:tcPr>
          <w:p w14:paraId="3D3695F7">
            <w:pPr>
              <w:spacing w:after="0" w:line="240" w:lineRule="auto"/>
            </w:pPr>
            <w:r>
              <w:rPr>
                <w:rFonts w:ascii="Times New Roman" w:hAnsi="Times New Roman" w:eastAsia="宋体"/>
                <w:b w:val="0"/>
                <w:sz w:val="17"/>
              </w:rPr>
              <w:t>第70次</w:t>
            </w:r>
          </w:p>
        </w:tc>
        <w:tc>
          <w:tcPr>
            <w:tcW w:w="1361" w:type="dxa"/>
          </w:tcPr>
          <w:p w14:paraId="667BFC49">
            <w:pPr>
              <w:spacing w:after="0" w:line="240" w:lineRule="auto"/>
            </w:pPr>
            <w:r>
              <w:rPr>
                <w:rFonts w:ascii="Times New Roman" w:hAnsi="Times New Roman" w:eastAsia="宋体"/>
                <w:b w:val="0"/>
                <w:sz w:val="17"/>
              </w:rPr>
              <w:t>2007-09-12</w:t>
            </w:r>
          </w:p>
        </w:tc>
        <w:tc>
          <w:tcPr>
            <w:tcW w:w="2948" w:type="dxa"/>
          </w:tcPr>
          <w:p w14:paraId="27404B1A">
            <w:pPr>
              <w:spacing w:after="0" w:line="240" w:lineRule="auto"/>
            </w:pPr>
            <w:r>
              <w:rPr>
                <w:rFonts w:ascii="Times New Roman" w:hAnsi="Times New Roman" w:eastAsia="宋体"/>
                <w:b w:val="0"/>
                <w:sz w:val="17"/>
              </w:rPr>
              <w:t>传统信用卡业务含 riba，专门为其配套 takaful 保障被裁定“不允许（not allowed）”</w:t>
            </w:r>
          </w:p>
        </w:tc>
        <w:tc>
          <w:tcPr>
            <w:tcW w:w="737" w:type="dxa"/>
          </w:tcPr>
          <w:p w14:paraId="5B76E412">
            <w:pPr>
              <w:spacing w:after="0" w:line="240" w:lineRule="auto"/>
            </w:pPr>
            <w:r>
              <w:rPr>
                <w:rFonts w:ascii="Times New Roman" w:hAnsi="Times New Roman" w:eastAsia="宋体"/>
                <w:b w:val="0"/>
                <w:sz w:val="17"/>
              </w:rPr>
              <w:t>p.90</w:t>
            </w:r>
          </w:p>
        </w:tc>
      </w:tr>
      <w:tr w14:paraId="410FBCAC">
        <w:trPr>
          <w:jc w:val="center"/>
        </w:trPr>
        <w:tc>
          <w:tcPr>
            <w:tcW w:w="1304" w:type="dxa"/>
          </w:tcPr>
          <w:p w14:paraId="19FA741B">
            <w:pPr>
              <w:spacing w:after="0" w:line="240" w:lineRule="auto"/>
            </w:pPr>
            <w:r>
              <w:rPr>
                <w:rFonts w:ascii="Times New Roman" w:hAnsi="Times New Roman" w:eastAsia="宋体"/>
                <w:b w:val="0"/>
                <w:sz w:val="17"/>
              </w:rPr>
              <w:t>Resolution No.77</w:t>
            </w:r>
          </w:p>
        </w:tc>
        <w:tc>
          <w:tcPr>
            <w:tcW w:w="2438" w:type="dxa"/>
          </w:tcPr>
          <w:p w14:paraId="5E07FE2A">
            <w:pPr>
              <w:spacing w:after="0" w:line="240" w:lineRule="auto"/>
            </w:pPr>
            <w:r>
              <w:rPr>
                <w:rFonts w:ascii="Times New Roman" w:hAnsi="Times New Roman" w:eastAsia="宋体"/>
                <w:b w:val="0"/>
                <w:sz w:val="17"/>
              </w:rPr>
              <w:t>Hibah in Qard Contract</w:t>
            </w:r>
          </w:p>
        </w:tc>
        <w:tc>
          <w:tcPr>
            <w:tcW w:w="1984" w:type="dxa"/>
          </w:tcPr>
          <w:p w14:paraId="7B5BAF4B">
            <w:pPr>
              <w:spacing w:after="0" w:line="240" w:lineRule="auto"/>
            </w:pPr>
            <w:r>
              <w:rPr>
                <w:rFonts w:ascii="Times New Roman" w:hAnsi="Times New Roman" w:eastAsia="宋体"/>
                <w:b w:val="0"/>
                <w:sz w:val="17"/>
              </w:rPr>
              <w:t>第55次</w:t>
            </w:r>
          </w:p>
        </w:tc>
        <w:tc>
          <w:tcPr>
            <w:tcW w:w="1361" w:type="dxa"/>
          </w:tcPr>
          <w:p w14:paraId="22E2FCF2">
            <w:pPr>
              <w:spacing w:after="0" w:line="240" w:lineRule="auto"/>
            </w:pPr>
            <w:r>
              <w:rPr>
                <w:rFonts w:ascii="Times New Roman" w:hAnsi="Times New Roman" w:eastAsia="宋体"/>
                <w:b w:val="0"/>
                <w:sz w:val="17"/>
              </w:rPr>
              <w:t>2005-12-29</w:t>
            </w:r>
          </w:p>
        </w:tc>
        <w:tc>
          <w:tcPr>
            <w:tcW w:w="2948" w:type="dxa"/>
          </w:tcPr>
          <w:p w14:paraId="39F9DAC4">
            <w:pPr>
              <w:spacing w:after="0" w:line="240" w:lineRule="auto"/>
            </w:pPr>
            <w:r>
              <w:rPr>
                <w:rFonts w:ascii="Times New Roman" w:hAnsi="Times New Roman" w:eastAsia="宋体"/>
                <w:b w:val="0"/>
                <w:sz w:val="17"/>
              </w:rPr>
              <w:t>qard 借贷中的自愿馈赠不得固化为条件或惯例，以免变相构成 riba</w:t>
            </w:r>
          </w:p>
        </w:tc>
        <w:tc>
          <w:tcPr>
            <w:tcW w:w="737" w:type="dxa"/>
          </w:tcPr>
          <w:p w14:paraId="242CBBF9">
            <w:pPr>
              <w:spacing w:after="0" w:line="240" w:lineRule="auto"/>
            </w:pPr>
            <w:r>
              <w:rPr>
                <w:rFonts w:ascii="Times New Roman" w:hAnsi="Times New Roman" w:eastAsia="宋体"/>
                <w:b w:val="0"/>
                <w:sz w:val="17"/>
              </w:rPr>
              <w:t>p.142</w:t>
            </w:r>
          </w:p>
        </w:tc>
      </w:tr>
      <w:tr w14:paraId="19396C9F">
        <w:trPr>
          <w:jc w:val="center"/>
        </w:trPr>
        <w:tc>
          <w:tcPr>
            <w:tcW w:w="1304" w:type="dxa"/>
          </w:tcPr>
          <w:p w14:paraId="1B03A1D0">
            <w:pPr>
              <w:spacing w:after="0" w:line="240" w:lineRule="auto"/>
            </w:pPr>
            <w:r>
              <w:rPr>
                <w:rFonts w:ascii="Times New Roman" w:hAnsi="Times New Roman" w:eastAsia="宋体"/>
                <w:b w:val="0"/>
                <w:sz w:val="17"/>
              </w:rPr>
              <w:t>Resolution No.78</w:t>
            </w:r>
          </w:p>
        </w:tc>
        <w:tc>
          <w:tcPr>
            <w:tcW w:w="2438" w:type="dxa"/>
          </w:tcPr>
          <w:p w14:paraId="67979A95">
            <w:pPr>
              <w:spacing w:after="0" w:line="240" w:lineRule="auto"/>
            </w:pPr>
            <w:r>
              <w:rPr>
                <w:rFonts w:ascii="Times New Roman" w:hAnsi="Times New Roman" w:eastAsia="宋体"/>
                <w:b w:val="0"/>
                <w:sz w:val="17"/>
              </w:rPr>
              <w:t>Ibra’ in Islamic Financing</w:t>
            </w:r>
          </w:p>
        </w:tc>
        <w:tc>
          <w:tcPr>
            <w:tcW w:w="1984" w:type="dxa"/>
          </w:tcPr>
          <w:p w14:paraId="622BADEB">
            <w:pPr>
              <w:spacing w:after="0" w:line="240" w:lineRule="auto"/>
            </w:pPr>
            <w:r>
              <w:rPr>
                <w:rFonts w:ascii="Times New Roman" w:hAnsi="Times New Roman" w:eastAsia="宋体"/>
                <w:b w:val="0"/>
                <w:sz w:val="17"/>
              </w:rPr>
              <w:t>第101次（另经第13次 2000-04-10讨论）</w:t>
            </w:r>
          </w:p>
        </w:tc>
        <w:tc>
          <w:tcPr>
            <w:tcW w:w="1361" w:type="dxa"/>
          </w:tcPr>
          <w:p w14:paraId="730F8B16">
            <w:pPr>
              <w:spacing w:after="0" w:line="240" w:lineRule="auto"/>
            </w:pPr>
            <w:r>
              <w:rPr>
                <w:rFonts w:ascii="Times New Roman" w:hAnsi="Times New Roman" w:eastAsia="宋体"/>
                <w:b w:val="0"/>
                <w:sz w:val="17"/>
              </w:rPr>
              <w:t>2010-05-20</w:t>
            </w:r>
          </w:p>
        </w:tc>
        <w:tc>
          <w:tcPr>
            <w:tcW w:w="2948" w:type="dxa"/>
          </w:tcPr>
          <w:p w14:paraId="313F978C">
            <w:pPr>
              <w:spacing w:after="0" w:line="240" w:lineRule="auto"/>
            </w:pPr>
            <w:r>
              <w:rPr>
                <w:rFonts w:ascii="Times New Roman" w:hAnsi="Times New Roman" w:eastAsia="宋体"/>
                <w:b w:val="0"/>
                <w:sz w:val="17"/>
              </w:rPr>
              <w:t>提前结清须给予 ibra’（减免），防止以展期/增值方式形成 riba</w:t>
            </w:r>
          </w:p>
        </w:tc>
        <w:tc>
          <w:tcPr>
            <w:tcW w:w="737" w:type="dxa"/>
          </w:tcPr>
          <w:p w14:paraId="3317EED8">
            <w:pPr>
              <w:spacing w:after="0" w:line="240" w:lineRule="auto"/>
            </w:pPr>
            <w:r>
              <w:rPr>
                <w:rFonts w:ascii="Times New Roman" w:hAnsi="Times New Roman" w:eastAsia="宋体"/>
                <w:b w:val="0"/>
                <w:sz w:val="17"/>
              </w:rPr>
              <w:t>p.143</w:t>
            </w:r>
          </w:p>
        </w:tc>
      </w:tr>
      <w:tr w14:paraId="2855509B">
        <w:trPr>
          <w:jc w:val="center"/>
        </w:trPr>
        <w:tc>
          <w:tcPr>
            <w:tcW w:w="1304" w:type="dxa"/>
          </w:tcPr>
          <w:p w14:paraId="0E241894">
            <w:pPr>
              <w:spacing w:after="0" w:line="240" w:lineRule="auto"/>
            </w:pPr>
            <w:r>
              <w:rPr>
                <w:rFonts w:ascii="Times New Roman" w:hAnsi="Times New Roman" w:eastAsia="宋体"/>
                <w:b w:val="0"/>
                <w:sz w:val="17"/>
              </w:rPr>
              <w:t>Resolution No.81 ★</w:t>
            </w:r>
          </w:p>
        </w:tc>
        <w:tc>
          <w:tcPr>
            <w:tcW w:w="2438" w:type="dxa"/>
          </w:tcPr>
          <w:p w14:paraId="4B6C7E7D">
            <w:pPr>
              <w:spacing w:after="0" w:line="240" w:lineRule="auto"/>
            </w:pPr>
            <w:r>
              <w:rPr>
                <w:rFonts w:ascii="Times New Roman" w:hAnsi="Times New Roman" w:eastAsia="宋体"/>
                <w:b w:val="0"/>
                <w:sz w:val="17"/>
              </w:rPr>
              <w:t>Imposition of Ta’widh and Gharamah in Islamic Financing Facilities</w:t>
            </w:r>
          </w:p>
        </w:tc>
        <w:tc>
          <w:tcPr>
            <w:tcW w:w="1984" w:type="dxa"/>
          </w:tcPr>
          <w:p w14:paraId="610D0A6F">
            <w:pPr>
              <w:spacing w:after="0" w:line="240" w:lineRule="auto"/>
            </w:pPr>
            <w:r>
              <w:rPr>
                <w:rFonts w:ascii="Times New Roman" w:hAnsi="Times New Roman" w:eastAsia="宋体"/>
                <w:b w:val="0"/>
                <w:sz w:val="17"/>
              </w:rPr>
              <w:t>第4次 1998-02-14；第95次 2010-01-28；第101次 2010-05-20</w:t>
            </w:r>
          </w:p>
        </w:tc>
        <w:tc>
          <w:tcPr>
            <w:tcW w:w="1361" w:type="dxa"/>
          </w:tcPr>
          <w:p w14:paraId="6E34D6AE">
            <w:pPr>
              <w:spacing w:after="0" w:line="240" w:lineRule="auto"/>
            </w:pPr>
            <w:r>
              <w:rPr>
                <w:rFonts w:ascii="Times New Roman" w:hAnsi="Times New Roman" w:eastAsia="宋体"/>
                <w:b w:val="0"/>
                <w:sz w:val="17"/>
              </w:rPr>
              <w:t>1998 / 2010（三届）</w:t>
            </w:r>
          </w:p>
        </w:tc>
        <w:tc>
          <w:tcPr>
            <w:tcW w:w="2948" w:type="dxa"/>
          </w:tcPr>
          <w:p w14:paraId="7F3F584D">
            <w:pPr>
              <w:spacing w:after="0" w:line="240" w:lineRule="auto"/>
            </w:pPr>
            <w:r>
              <w:rPr>
                <w:rFonts w:ascii="Times New Roman" w:hAnsi="Times New Roman" w:eastAsia="宋体"/>
                <w:b w:val="0"/>
                <w:sz w:val="17"/>
              </w:rPr>
              <w:t>最直接：原文指出传统体系靠收取“interests or riba”处理违约、而“the imposition of interests or riba is prohibited by Shariah”，改以 ta’widh（实际损失补偿）+gharamah（罚金且不得计为收入）替代</w:t>
            </w:r>
          </w:p>
        </w:tc>
        <w:tc>
          <w:tcPr>
            <w:tcW w:w="737" w:type="dxa"/>
          </w:tcPr>
          <w:p w14:paraId="73A51B69">
            <w:pPr>
              <w:spacing w:after="0" w:line="240" w:lineRule="auto"/>
            </w:pPr>
            <w:r>
              <w:rPr>
                <w:rFonts w:ascii="Times New Roman" w:hAnsi="Times New Roman" w:eastAsia="宋体"/>
                <w:b w:val="0"/>
                <w:sz w:val="17"/>
              </w:rPr>
              <w:t>p.149</w:t>
            </w:r>
          </w:p>
        </w:tc>
      </w:tr>
      <w:tr w14:paraId="0B156963">
        <w:trPr>
          <w:jc w:val="center"/>
        </w:trPr>
        <w:tc>
          <w:tcPr>
            <w:tcW w:w="1304" w:type="dxa"/>
          </w:tcPr>
          <w:p w14:paraId="1EE61533">
            <w:pPr>
              <w:spacing w:after="0" w:line="240" w:lineRule="auto"/>
            </w:pPr>
            <w:r>
              <w:rPr>
                <w:rFonts w:ascii="Times New Roman" w:hAnsi="Times New Roman" w:eastAsia="宋体"/>
                <w:b w:val="0"/>
                <w:sz w:val="17"/>
              </w:rPr>
              <w:t>Resolution No.83</w:t>
            </w:r>
          </w:p>
        </w:tc>
        <w:tc>
          <w:tcPr>
            <w:tcW w:w="2438" w:type="dxa"/>
          </w:tcPr>
          <w:p w14:paraId="3D3C1EFA">
            <w:pPr>
              <w:spacing w:after="0" w:line="240" w:lineRule="auto"/>
            </w:pPr>
            <w:r>
              <w:rPr>
                <w:rFonts w:ascii="Times New Roman" w:hAnsi="Times New Roman" w:eastAsia="宋体"/>
                <w:b w:val="0"/>
                <w:sz w:val="17"/>
              </w:rPr>
              <w:t>Method of Late Payment Charge on Judgment Debt</w:t>
            </w:r>
          </w:p>
        </w:tc>
        <w:tc>
          <w:tcPr>
            <w:tcW w:w="1984" w:type="dxa"/>
          </w:tcPr>
          <w:p w14:paraId="2CBFA9F1">
            <w:pPr>
              <w:spacing w:after="0" w:line="240" w:lineRule="auto"/>
            </w:pPr>
            <w:r>
              <w:rPr>
                <w:rFonts w:ascii="Times New Roman" w:hAnsi="Times New Roman" w:eastAsia="宋体"/>
                <w:b w:val="0"/>
                <w:sz w:val="17"/>
              </w:rPr>
              <w:t>第50次 2005-05-26；第61次 2006-08-24；第100次 2010-04-30至05-01</w:t>
            </w:r>
          </w:p>
        </w:tc>
        <w:tc>
          <w:tcPr>
            <w:tcW w:w="1361" w:type="dxa"/>
          </w:tcPr>
          <w:p w14:paraId="1F2AC462">
            <w:pPr>
              <w:spacing w:after="0" w:line="240" w:lineRule="auto"/>
            </w:pPr>
            <w:r>
              <w:rPr>
                <w:rFonts w:ascii="Times New Roman" w:hAnsi="Times New Roman" w:eastAsia="宋体"/>
                <w:b w:val="0"/>
                <w:sz w:val="17"/>
              </w:rPr>
              <w:t>2005/2006/2010（三届）</w:t>
            </w:r>
          </w:p>
        </w:tc>
        <w:tc>
          <w:tcPr>
            <w:tcW w:w="2948" w:type="dxa"/>
          </w:tcPr>
          <w:p w14:paraId="3FFFB7EC">
            <w:pPr>
              <w:spacing w:after="0" w:line="240" w:lineRule="auto"/>
            </w:pPr>
            <w:r>
              <w:rPr>
                <w:rFonts w:ascii="Times New Roman" w:hAnsi="Times New Roman" w:eastAsia="宋体"/>
                <w:b w:val="0"/>
                <w:sz w:val="17"/>
              </w:rPr>
              <w:t>法院判决债务的迟付收费只能按实际损失 ta’widh，不得变成复利或利息</w:t>
            </w:r>
          </w:p>
        </w:tc>
        <w:tc>
          <w:tcPr>
            <w:tcW w:w="737" w:type="dxa"/>
          </w:tcPr>
          <w:p w14:paraId="1903AC3C">
            <w:pPr>
              <w:spacing w:after="0" w:line="240" w:lineRule="auto"/>
            </w:pPr>
            <w:r>
              <w:rPr>
                <w:rFonts w:ascii="Times New Roman" w:hAnsi="Times New Roman" w:eastAsia="宋体"/>
                <w:b w:val="0"/>
                <w:sz w:val="17"/>
              </w:rPr>
              <w:t>p.153</w:t>
            </w:r>
          </w:p>
        </w:tc>
      </w:tr>
      <w:tr w14:paraId="73B43938">
        <w:trPr>
          <w:jc w:val="center"/>
        </w:trPr>
        <w:tc>
          <w:tcPr>
            <w:tcW w:w="1304" w:type="dxa"/>
          </w:tcPr>
          <w:p w14:paraId="32465A7E">
            <w:pPr>
              <w:spacing w:after="0" w:line="240" w:lineRule="auto"/>
            </w:pPr>
            <w:r>
              <w:rPr>
                <w:rFonts w:ascii="Times New Roman" w:hAnsi="Times New Roman" w:eastAsia="宋体"/>
                <w:b w:val="0"/>
                <w:sz w:val="17"/>
              </w:rPr>
              <w:t>Resolution No.107</w:t>
            </w:r>
          </w:p>
        </w:tc>
        <w:tc>
          <w:tcPr>
            <w:tcW w:w="2438" w:type="dxa"/>
          </w:tcPr>
          <w:p w14:paraId="392E753F">
            <w:pPr>
              <w:spacing w:after="0" w:line="240" w:lineRule="auto"/>
            </w:pPr>
            <w:r>
              <w:rPr>
                <w:rFonts w:ascii="Times New Roman" w:hAnsi="Times New Roman" w:eastAsia="宋体"/>
                <w:b w:val="0"/>
                <w:sz w:val="17"/>
              </w:rPr>
              <w:t>Late Payment and Additional Recourse Charge（Danajamin sukuk）</w:t>
            </w:r>
          </w:p>
        </w:tc>
        <w:tc>
          <w:tcPr>
            <w:tcW w:w="1984" w:type="dxa"/>
          </w:tcPr>
          <w:p w14:paraId="27DFD5CC">
            <w:pPr>
              <w:spacing w:after="0" w:line="240" w:lineRule="auto"/>
            </w:pPr>
            <w:r>
              <w:rPr>
                <w:rFonts w:ascii="Times New Roman" w:hAnsi="Times New Roman" w:eastAsia="宋体"/>
                <w:b w:val="0"/>
                <w:sz w:val="17"/>
              </w:rPr>
              <w:t>第10次特别会议 2009-04-09；第95次 2010-01-28</w:t>
            </w:r>
          </w:p>
        </w:tc>
        <w:tc>
          <w:tcPr>
            <w:tcW w:w="1361" w:type="dxa"/>
          </w:tcPr>
          <w:p w14:paraId="3BB26692">
            <w:pPr>
              <w:spacing w:after="0" w:line="240" w:lineRule="auto"/>
            </w:pPr>
            <w:r>
              <w:rPr>
                <w:rFonts w:ascii="Times New Roman" w:hAnsi="Times New Roman" w:eastAsia="宋体"/>
                <w:b w:val="0"/>
                <w:sz w:val="17"/>
              </w:rPr>
              <w:t>2009 / 2010（两届）</w:t>
            </w:r>
          </w:p>
        </w:tc>
        <w:tc>
          <w:tcPr>
            <w:tcW w:w="2948" w:type="dxa"/>
          </w:tcPr>
          <w:p w14:paraId="19809225">
            <w:pPr>
              <w:spacing w:after="0" w:line="240" w:lineRule="auto"/>
            </w:pPr>
            <w:r>
              <w:rPr>
                <w:rFonts w:ascii="Times New Roman" w:hAnsi="Times New Roman" w:eastAsia="宋体"/>
                <w:b w:val="0"/>
                <w:sz w:val="17"/>
              </w:rPr>
              <w:t>sukuk 迟付费可收但“不得复利（non-compounding）”，以避免 riba</w:t>
            </w:r>
          </w:p>
        </w:tc>
        <w:tc>
          <w:tcPr>
            <w:tcW w:w="737" w:type="dxa"/>
          </w:tcPr>
          <w:p w14:paraId="0105B839">
            <w:pPr>
              <w:spacing w:after="0" w:line="240" w:lineRule="auto"/>
            </w:pPr>
            <w:r>
              <w:rPr>
                <w:rFonts w:ascii="Times New Roman" w:hAnsi="Times New Roman" w:eastAsia="宋体"/>
                <w:b w:val="0"/>
                <w:sz w:val="17"/>
              </w:rPr>
              <w:t>p.192</w:t>
            </w:r>
          </w:p>
        </w:tc>
      </w:tr>
      <w:tr w14:paraId="3CA4D949">
        <w:trPr>
          <w:jc w:val="center"/>
        </w:trPr>
        <w:tc>
          <w:tcPr>
            <w:tcW w:w="1304" w:type="dxa"/>
          </w:tcPr>
          <w:p w14:paraId="114C9DDD">
            <w:pPr>
              <w:spacing w:after="0" w:line="240" w:lineRule="auto"/>
            </w:pPr>
            <w:r>
              <w:rPr>
                <w:rFonts w:ascii="Times New Roman" w:hAnsi="Times New Roman" w:eastAsia="宋体"/>
                <w:b w:val="0"/>
                <w:sz w:val="17"/>
              </w:rPr>
              <w:t>Resolution No.123 ★</w:t>
            </w:r>
          </w:p>
        </w:tc>
        <w:tc>
          <w:tcPr>
            <w:tcW w:w="2438" w:type="dxa"/>
          </w:tcPr>
          <w:p w14:paraId="2BE79C59">
            <w:pPr>
              <w:spacing w:after="0" w:line="240" w:lineRule="auto"/>
            </w:pPr>
            <w:r>
              <w:rPr>
                <w:rFonts w:ascii="Times New Roman" w:hAnsi="Times New Roman" w:eastAsia="宋体"/>
                <w:b w:val="0"/>
                <w:sz w:val="17"/>
              </w:rPr>
              <w:t>Application of Time Value of Money Principle</w:t>
            </w:r>
          </w:p>
        </w:tc>
        <w:tc>
          <w:tcPr>
            <w:tcW w:w="1984" w:type="dxa"/>
          </w:tcPr>
          <w:p w14:paraId="7C08E866">
            <w:pPr>
              <w:spacing w:after="0" w:line="240" w:lineRule="auto"/>
            </w:pPr>
            <w:r>
              <w:rPr>
                <w:rFonts w:ascii="Times New Roman" w:hAnsi="Times New Roman" w:eastAsia="宋体"/>
                <w:b w:val="0"/>
                <w:sz w:val="17"/>
              </w:rPr>
              <w:t>第71次</w:t>
            </w:r>
          </w:p>
        </w:tc>
        <w:tc>
          <w:tcPr>
            <w:tcW w:w="1361" w:type="dxa"/>
          </w:tcPr>
          <w:p w14:paraId="53F02D60">
            <w:pPr>
              <w:spacing w:after="0" w:line="240" w:lineRule="auto"/>
            </w:pPr>
            <w:r>
              <w:rPr>
                <w:rFonts w:ascii="Times New Roman" w:hAnsi="Times New Roman" w:eastAsia="宋体"/>
                <w:b w:val="0"/>
                <w:sz w:val="17"/>
              </w:rPr>
              <w:t>2007-10-26至27</w:t>
            </w:r>
          </w:p>
        </w:tc>
        <w:tc>
          <w:tcPr>
            <w:tcW w:w="2948" w:type="dxa"/>
          </w:tcPr>
          <w:p w14:paraId="7C1ED398">
            <w:pPr>
              <w:spacing w:after="0" w:line="240" w:lineRule="auto"/>
            </w:pPr>
            <w:r>
              <w:rPr>
                <w:rFonts w:ascii="Times New Roman" w:hAnsi="Times New Roman" w:eastAsia="宋体"/>
                <w:b w:val="0"/>
                <w:sz w:val="17"/>
              </w:rPr>
              <w:t>货币时间价值是利息的理论基础；SAC 裁定其仅限递延买卖合约，“严格禁止用于债务类交易 qard（strictly prohibited in debt-based transactions）”</w:t>
            </w:r>
          </w:p>
        </w:tc>
        <w:tc>
          <w:tcPr>
            <w:tcW w:w="737" w:type="dxa"/>
          </w:tcPr>
          <w:p w14:paraId="23DCD1FF">
            <w:pPr>
              <w:spacing w:after="0" w:line="240" w:lineRule="auto"/>
            </w:pPr>
            <w:r>
              <w:rPr>
                <w:rFonts w:ascii="Times New Roman" w:hAnsi="Times New Roman" w:eastAsia="宋体"/>
                <w:b w:val="0"/>
                <w:sz w:val="17"/>
              </w:rPr>
              <w:t>p.215</w:t>
            </w:r>
          </w:p>
        </w:tc>
      </w:tr>
      <w:tr w14:paraId="0307E491">
        <w:trPr>
          <w:jc w:val="center"/>
        </w:trPr>
        <w:tc>
          <w:tcPr>
            <w:tcW w:w="1304" w:type="dxa"/>
          </w:tcPr>
          <w:p w14:paraId="7556B8F7">
            <w:pPr>
              <w:spacing w:after="0" w:line="240" w:lineRule="auto"/>
            </w:pPr>
            <w:r>
              <w:rPr>
                <w:rFonts w:ascii="Times New Roman" w:hAnsi="Times New Roman" w:eastAsia="宋体"/>
                <w:b w:val="0"/>
                <w:sz w:val="17"/>
              </w:rPr>
              <w:t>Resolution No.131</w:t>
            </w:r>
          </w:p>
        </w:tc>
        <w:tc>
          <w:tcPr>
            <w:tcW w:w="2438" w:type="dxa"/>
          </w:tcPr>
          <w:p w14:paraId="464E9FE4">
            <w:pPr>
              <w:spacing w:after="0" w:line="240" w:lineRule="auto"/>
            </w:pPr>
            <w:r>
              <w:rPr>
                <w:rFonts w:ascii="Times New Roman" w:hAnsi="Times New Roman" w:eastAsia="宋体"/>
                <w:b w:val="0"/>
                <w:sz w:val="17"/>
              </w:rPr>
              <w:t>Restructuring and Rescheduling in Islamic Financing Agreement</w:t>
            </w:r>
          </w:p>
        </w:tc>
        <w:tc>
          <w:tcPr>
            <w:tcW w:w="1984" w:type="dxa"/>
          </w:tcPr>
          <w:p w14:paraId="255265D7">
            <w:pPr>
              <w:spacing w:after="0" w:line="240" w:lineRule="auto"/>
            </w:pPr>
            <w:r>
              <w:rPr>
                <w:rFonts w:ascii="Times New Roman" w:hAnsi="Times New Roman" w:eastAsia="宋体"/>
                <w:b w:val="0"/>
                <w:sz w:val="17"/>
              </w:rPr>
              <w:t>第26次</w:t>
            </w:r>
          </w:p>
        </w:tc>
        <w:tc>
          <w:tcPr>
            <w:tcW w:w="1361" w:type="dxa"/>
          </w:tcPr>
          <w:p w14:paraId="08339327">
            <w:pPr>
              <w:spacing w:after="0" w:line="240" w:lineRule="auto"/>
            </w:pPr>
            <w:r>
              <w:rPr>
                <w:rFonts w:ascii="Times New Roman" w:hAnsi="Times New Roman" w:eastAsia="宋体"/>
                <w:b w:val="0"/>
                <w:sz w:val="17"/>
              </w:rPr>
              <w:t>2002-06-26</w:t>
            </w:r>
          </w:p>
        </w:tc>
        <w:tc>
          <w:tcPr>
            <w:tcW w:w="2948" w:type="dxa"/>
          </w:tcPr>
          <w:p w14:paraId="45D52CDA">
            <w:pPr>
              <w:spacing w:after="0" w:line="240" w:lineRule="auto"/>
            </w:pPr>
            <w:r>
              <w:rPr>
                <w:rFonts w:ascii="Times New Roman" w:hAnsi="Times New Roman" w:eastAsia="宋体"/>
                <w:b w:val="0"/>
                <w:sz w:val="17"/>
              </w:rPr>
              <w:t>债务重组/展期不得增加债务余额，以免构成 riba</w:t>
            </w:r>
          </w:p>
        </w:tc>
        <w:tc>
          <w:tcPr>
            <w:tcW w:w="737" w:type="dxa"/>
          </w:tcPr>
          <w:p w14:paraId="7B417050">
            <w:pPr>
              <w:spacing w:after="0" w:line="240" w:lineRule="auto"/>
            </w:pPr>
            <w:r>
              <w:rPr>
                <w:rFonts w:ascii="Times New Roman" w:hAnsi="Times New Roman" w:eastAsia="宋体"/>
                <w:b w:val="0"/>
                <w:sz w:val="17"/>
              </w:rPr>
              <w:t>p.226</w:t>
            </w:r>
          </w:p>
        </w:tc>
      </w:tr>
    </w:tbl>
    <w:p w14:paraId="47C4DD07">
      <w:r>
        <w:rPr>
          <w:rFonts w:ascii="Times New Roman" w:hAnsi="Times New Roman" w:eastAsia="黑体"/>
          <w:b/>
          <w:color w:val="1F3A5F"/>
          <w:sz w:val="30"/>
        </w:rPr>
        <w:t>四、B 表：2010 年前后 BNM 官网会议裁决（无独立编号，以届次标识）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1049"/>
        <w:gridCol w:w="1348"/>
        <w:gridCol w:w="3607"/>
        <w:gridCol w:w="1276"/>
      </w:tblGrid>
      <w:tr w14:paraId="4C2F5663">
        <w:trPr>
          <w:jc w:val="center"/>
        </w:trPr>
        <w:tc>
          <w:tcPr>
            <w:tcW w:w="1701" w:type="dxa"/>
            <w:shd w:val="clear" w:color="auto" w:fill="1F3A5F"/>
          </w:tcPr>
          <w:p w14:paraId="329A30A4">
            <w:pPr>
              <w:spacing w:after="0" w:line="240" w:lineRule="auto"/>
            </w:pPr>
            <w:r>
              <w:rPr>
                <w:rFonts w:ascii="Times New Roman" w:hAnsi="Times New Roman" w:eastAsia="黑体"/>
                <w:b/>
                <w:color w:val="FFFFFF"/>
                <w:sz w:val="17"/>
              </w:rPr>
              <w:t>fatwa_id</w:t>
            </w:r>
          </w:p>
        </w:tc>
        <w:tc>
          <w:tcPr>
            <w:tcW w:w="1134" w:type="dxa"/>
            <w:shd w:val="clear" w:color="auto" w:fill="1F3A5F"/>
          </w:tcPr>
          <w:p w14:paraId="417202BC">
            <w:pPr>
              <w:spacing w:after="0" w:line="240" w:lineRule="auto"/>
            </w:pPr>
            <w:r>
              <w:rPr>
                <w:rFonts w:ascii="Times New Roman" w:hAnsi="Times New Roman" w:eastAsia="黑体"/>
                <w:b/>
                <w:color w:val="FFFFFF"/>
                <w:sz w:val="17"/>
              </w:rPr>
              <w:t>届次</w:t>
            </w:r>
          </w:p>
        </w:tc>
        <w:tc>
          <w:tcPr>
            <w:tcW w:w="1474" w:type="dxa"/>
            <w:shd w:val="clear" w:color="auto" w:fill="1F3A5F"/>
          </w:tcPr>
          <w:p w14:paraId="0EBA474D">
            <w:pPr>
              <w:spacing w:after="0" w:line="240" w:lineRule="auto"/>
            </w:pPr>
            <w:r>
              <w:rPr>
                <w:rFonts w:ascii="Times New Roman" w:hAnsi="Times New Roman" w:eastAsia="黑体"/>
                <w:b/>
                <w:color w:val="FFFFFF"/>
                <w:sz w:val="17"/>
              </w:rPr>
              <w:t>日期</w:t>
            </w:r>
          </w:p>
        </w:tc>
        <w:tc>
          <w:tcPr>
            <w:tcW w:w="3969" w:type="dxa"/>
            <w:shd w:val="clear" w:color="auto" w:fill="1F3A5F"/>
          </w:tcPr>
          <w:p w14:paraId="2413B866">
            <w:pPr>
              <w:spacing w:after="0" w:line="240" w:lineRule="auto"/>
            </w:pPr>
            <w:r>
              <w:rPr>
                <w:rFonts w:ascii="Times New Roman" w:hAnsi="Times New Roman" w:eastAsia="黑体"/>
                <w:b/>
                <w:color w:val="FFFFFF"/>
                <w:sz w:val="17"/>
              </w:rPr>
              <w:t>裁决事项（与 interest/riba 关系）</w:t>
            </w:r>
          </w:p>
        </w:tc>
        <w:tc>
          <w:tcPr>
            <w:tcW w:w="1361" w:type="dxa"/>
            <w:shd w:val="clear" w:color="auto" w:fill="1F3A5F"/>
          </w:tcPr>
          <w:p w14:paraId="2E130A02">
            <w:pPr>
              <w:spacing w:after="0" w:line="240" w:lineRule="auto"/>
            </w:pPr>
            <w:r>
              <w:rPr>
                <w:rFonts w:ascii="Times New Roman" w:hAnsi="Times New Roman" w:eastAsia="黑体"/>
                <w:b/>
                <w:color w:val="FFFFFF"/>
                <w:sz w:val="17"/>
              </w:rPr>
              <w:t>官方 URL</w:t>
            </w:r>
          </w:p>
        </w:tc>
      </w:tr>
      <w:tr w14:paraId="624D6210">
        <w:trPr>
          <w:jc w:val="center"/>
        </w:trPr>
        <w:tc>
          <w:tcPr>
            <w:tcW w:w="1701" w:type="dxa"/>
          </w:tcPr>
          <w:p w14:paraId="75C3533C">
            <w:pPr>
              <w:spacing w:after="0" w:line="240" w:lineRule="auto"/>
            </w:pPr>
            <w:r>
              <w:rPr>
                <w:rFonts w:ascii="Times New Roman" w:hAnsi="Times New Roman" w:eastAsia="宋体"/>
                <w:b w:val="0"/>
                <w:sz w:val="17"/>
              </w:rPr>
              <w:t>无独立编号（以届次标识）</w:t>
            </w:r>
          </w:p>
        </w:tc>
        <w:tc>
          <w:tcPr>
            <w:tcW w:w="1134" w:type="dxa"/>
          </w:tcPr>
          <w:p w14:paraId="15623A47">
            <w:pPr>
              <w:spacing w:after="0" w:line="240" w:lineRule="auto"/>
            </w:pPr>
            <w:r>
              <w:rPr>
                <w:rFonts w:ascii="Times New Roman" w:hAnsi="Times New Roman" w:eastAsia="宋体"/>
                <w:b w:val="0"/>
                <w:sz w:val="17"/>
              </w:rPr>
              <w:t>第95次</w:t>
            </w:r>
          </w:p>
        </w:tc>
        <w:tc>
          <w:tcPr>
            <w:tcW w:w="1474" w:type="dxa"/>
          </w:tcPr>
          <w:p w14:paraId="045B11CD">
            <w:pPr>
              <w:spacing w:after="0" w:line="240" w:lineRule="auto"/>
            </w:pPr>
            <w:r>
              <w:rPr>
                <w:rFonts w:ascii="Times New Roman" w:hAnsi="Times New Roman" w:eastAsia="宋体"/>
                <w:b w:val="0"/>
                <w:sz w:val="17"/>
              </w:rPr>
              <w:t>2010-01-28</w:t>
            </w:r>
          </w:p>
        </w:tc>
        <w:tc>
          <w:tcPr>
            <w:tcW w:w="3969" w:type="dxa"/>
          </w:tcPr>
          <w:p w14:paraId="76F4ED23">
            <w:pPr>
              <w:spacing w:after="0" w:line="240" w:lineRule="auto"/>
            </w:pPr>
            <w:r>
              <w:rPr>
                <w:rFonts w:ascii="Times New Roman" w:hAnsi="Times New Roman" w:eastAsia="宋体"/>
                <w:b w:val="0"/>
                <w:sz w:val="17"/>
              </w:rPr>
              <w:t>可对交换合约及 qard 的迟付收取 ta’widh（补偿实际损失），替代利息罚息</w:t>
            </w:r>
          </w:p>
        </w:tc>
        <w:tc>
          <w:tcPr>
            <w:tcW w:w="1361" w:type="dxa"/>
          </w:tcPr>
          <w:p w14:paraId="7FAE73FF">
            <w:pPr>
              <w:spacing w:after="0" w:line="240" w:lineRule="auto"/>
            </w:pPr>
            <w:r>
              <w:rPr>
                <w:rFonts w:ascii="Times New Roman" w:hAnsi="Times New Roman" w:eastAsia="宋体"/>
                <w:b w:val="0"/>
                <w:sz w:val="17"/>
              </w:rPr>
              <w:t>BNM 专题页①</w:t>
            </w:r>
          </w:p>
        </w:tc>
      </w:tr>
      <w:tr w14:paraId="6EAF7BB9">
        <w:trPr>
          <w:jc w:val="center"/>
        </w:trPr>
        <w:tc>
          <w:tcPr>
            <w:tcW w:w="1701" w:type="dxa"/>
          </w:tcPr>
          <w:p w14:paraId="21707109">
            <w:pPr>
              <w:spacing w:after="0" w:line="240" w:lineRule="auto"/>
            </w:pPr>
            <w:r>
              <w:rPr>
                <w:rFonts w:ascii="Times New Roman" w:hAnsi="Times New Roman" w:eastAsia="宋体"/>
                <w:b w:val="0"/>
                <w:sz w:val="17"/>
              </w:rPr>
              <w:t>无独立编号（以届次标识）</w:t>
            </w:r>
          </w:p>
        </w:tc>
        <w:tc>
          <w:tcPr>
            <w:tcW w:w="1134" w:type="dxa"/>
          </w:tcPr>
          <w:p w14:paraId="78822DE2">
            <w:pPr>
              <w:spacing w:after="0" w:line="240" w:lineRule="auto"/>
            </w:pPr>
            <w:r>
              <w:rPr>
                <w:rFonts w:ascii="Times New Roman" w:hAnsi="Times New Roman" w:eastAsia="宋体"/>
                <w:b w:val="0"/>
                <w:sz w:val="17"/>
              </w:rPr>
              <w:t>第101次</w:t>
            </w:r>
          </w:p>
        </w:tc>
        <w:tc>
          <w:tcPr>
            <w:tcW w:w="1474" w:type="dxa"/>
          </w:tcPr>
          <w:p w14:paraId="78D25671">
            <w:pPr>
              <w:spacing w:after="0" w:line="240" w:lineRule="auto"/>
            </w:pPr>
            <w:r>
              <w:rPr>
                <w:rFonts w:ascii="Times New Roman" w:hAnsi="Times New Roman" w:eastAsia="宋体"/>
                <w:b w:val="0"/>
                <w:sz w:val="17"/>
              </w:rPr>
              <w:t>2010-05-20</w:t>
            </w:r>
          </w:p>
        </w:tc>
        <w:tc>
          <w:tcPr>
            <w:tcW w:w="3969" w:type="dxa"/>
          </w:tcPr>
          <w:p w14:paraId="34D88581">
            <w:pPr>
              <w:spacing w:after="0" w:line="240" w:lineRule="auto"/>
            </w:pPr>
            <w:r>
              <w:rPr>
                <w:rFonts w:ascii="Times New Roman" w:hAnsi="Times New Roman" w:eastAsia="宋体"/>
                <w:b w:val="0"/>
                <w:sz w:val="17"/>
              </w:rPr>
              <w:t>(1) 买卖类融资提前结清须给 ibra’；(2) 迟付收费机制 gharamah+ta’widh（gharamah 不得计收入、须捐慈善）</w:t>
            </w:r>
          </w:p>
        </w:tc>
        <w:tc>
          <w:tcPr>
            <w:tcW w:w="1361" w:type="dxa"/>
          </w:tcPr>
          <w:p w14:paraId="18611512">
            <w:pPr>
              <w:spacing w:after="0" w:line="240" w:lineRule="auto"/>
            </w:pPr>
            <w:r>
              <w:rPr>
                <w:rFonts w:ascii="Times New Roman" w:hAnsi="Times New Roman" w:eastAsia="宋体"/>
                <w:b w:val="0"/>
                <w:sz w:val="17"/>
              </w:rPr>
              <w:t>BNM 专题页①（2010-06-29发布）</w:t>
            </w:r>
          </w:p>
        </w:tc>
      </w:tr>
      <w:tr w14:paraId="105B09FA">
        <w:trPr>
          <w:jc w:val="center"/>
        </w:trPr>
        <w:tc>
          <w:tcPr>
            <w:tcW w:w="1701" w:type="dxa"/>
          </w:tcPr>
          <w:p w14:paraId="44114099">
            <w:pPr>
              <w:spacing w:after="0" w:line="240" w:lineRule="auto"/>
            </w:pPr>
            <w:r>
              <w:rPr>
                <w:rFonts w:ascii="Times New Roman" w:hAnsi="Times New Roman" w:eastAsia="宋体"/>
                <w:b w:val="0"/>
                <w:sz w:val="17"/>
              </w:rPr>
              <w:t>无独立编号（以届次标识）</w:t>
            </w:r>
          </w:p>
        </w:tc>
        <w:tc>
          <w:tcPr>
            <w:tcW w:w="1134" w:type="dxa"/>
          </w:tcPr>
          <w:p w14:paraId="43139CF5">
            <w:pPr>
              <w:spacing w:after="0" w:line="240" w:lineRule="auto"/>
            </w:pPr>
            <w:r>
              <w:rPr>
                <w:rFonts w:ascii="Times New Roman" w:hAnsi="Times New Roman" w:eastAsia="宋体"/>
                <w:b w:val="0"/>
                <w:sz w:val="17"/>
              </w:rPr>
              <w:t>第12次；第30次</w:t>
            </w:r>
          </w:p>
        </w:tc>
        <w:tc>
          <w:tcPr>
            <w:tcW w:w="1474" w:type="dxa"/>
          </w:tcPr>
          <w:p w14:paraId="10CA6FF7">
            <w:pPr>
              <w:spacing w:after="0" w:line="240" w:lineRule="auto"/>
            </w:pPr>
            <w:r>
              <w:rPr>
                <w:rFonts w:ascii="Times New Roman" w:hAnsi="Times New Roman" w:eastAsia="宋体"/>
                <w:b w:val="0"/>
                <w:sz w:val="17"/>
              </w:rPr>
              <w:t>1999-07-14；2000-11-08</w:t>
            </w:r>
          </w:p>
        </w:tc>
        <w:tc>
          <w:tcPr>
            <w:tcW w:w="3969" w:type="dxa"/>
          </w:tcPr>
          <w:p w14:paraId="4130F81C">
            <w:pPr>
              <w:spacing w:after="0" w:line="240" w:lineRule="auto"/>
            </w:pPr>
            <w:r>
              <w:rPr>
                <w:rFonts w:ascii="Times New Roman" w:hAnsi="Times New Roman" w:eastAsia="宋体"/>
                <w:b w:val="0"/>
                <w:sz w:val="17"/>
              </w:rPr>
              <w:t>ta’widh 早期裁决：利润迟付按年1%、本金迟付按伊斯兰货币市场现行率，均不得复利</w:t>
            </w:r>
          </w:p>
        </w:tc>
        <w:tc>
          <w:tcPr>
            <w:tcW w:w="1361" w:type="dxa"/>
          </w:tcPr>
          <w:p w14:paraId="74564F6F">
            <w:pPr>
              <w:spacing w:after="0" w:line="240" w:lineRule="auto"/>
            </w:pPr>
            <w:r>
              <w:rPr>
                <w:rFonts w:ascii="Times New Roman" w:hAnsi="Times New Roman" w:eastAsia="宋体"/>
                <w:b w:val="0"/>
                <w:sz w:val="17"/>
              </w:rPr>
              <w:t>BNM 官方PDF②</w:t>
            </w:r>
          </w:p>
        </w:tc>
      </w:tr>
      <w:tr w14:paraId="2DEFC027">
        <w:trPr>
          <w:jc w:val="center"/>
        </w:trPr>
        <w:tc>
          <w:tcPr>
            <w:tcW w:w="1701" w:type="dxa"/>
          </w:tcPr>
          <w:p w14:paraId="3AAC6AC8">
            <w:pPr>
              <w:spacing w:after="0" w:line="240" w:lineRule="auto"/>
            </w:pPr>
            <w:r>
              <w:rPr>
                <w:rFonts w:ascii="Times New Roman" w:hAnsi="Times New Roman" w:eastAsia="宋体"/>
                <w:b w:val="0"/>
                <w:sz w:val="17"/>
              </w:rPr>
              <w:t>无独立编号（以届次标识）</w:t>
            </w:r>
          </w:p>
        </w:tc>
        <w:tc>
          <w:tcPr>
            <w:tcW w:w="1134" w:type="dxa"/>
          </w:tcPr>
          <w:p w14:paraId="4B8ACD57">
            <w:pPr>
              <w:spacing w:after="0" w:line="240" w:lineRule="auto"/>
            </w:pPr>
            <w:r>
              <w:rPr>
                <w:rFonts w:ascii="Times New Roman" w:hAnsi="Times New Roman" w:eastAsia="宋体"/>
                <w:b w:val="0"/>
                <w:sz w:val="17"/>
              </w:rPr>
              <w:t>第210次</w:t>
            </w:r>
          </w:p>
        </w:tc>
        <w:tc>
          <w:tcPr>
            <w:tcW w:w="1474" w:type="dxa"/>
          </w:tcPr>
          <w:p w14:paraId="04FDC664">
            <w:pPr>
              <w:spacing w:after="0" w:line="240" w:lineRule="auto"/>
            </w:pPr>
            <w:r>
              <w:rPr>
                <w:rFonts w:ascii="Times New Roman" w:hAnsi="Times New Roman" w:eastAsia="宋体"/>
                <w:b w:val="0"/>
                <w:sz w:val="17"/>
              </w:rPr>
              <w:t>2020-12-23</w:t>
            </w:r>
          </w:p>
        </w:tc>
        <w:tc>
          <w:tcPr>
            <w:tcW w:w="3969" w:type="dxa"/>
          </w:tcPr>
          <w:p w14:paraId="4692FAEB">
            <w:pPr>
              <w:spacing w:after="0" w:line="240" w:lineRule="auto"/>
            </w:pPr>
            <w:r>
              <w:rPr>
                <w:rFonts w:ascii="Times New Roman" w:hAnsi="Times New Roman" w:eastAsia="宋体"/>
                <w:b w:val="0"/>
                <w:sz w:val="17"/>
              </w:rPr>
              <w:t>准许以无风险利率 RFR 替代 LIBOR 作为利润率基准（与传统利率基准直接相关），复利仅为算术方法、不影响沙里亚合规</w:t>
            </w:r>
          </w:p>
        </w:tc>
        <w:tc>
          <w:tcPr>
            <w:tcW w:w="1361" w:type="dxa"/>
          </w:tcPr>
          <w:p w14:paraId="581A0E70">
            <w:pPr>
              <w:spacing w:after="0" w:line="240" w:lineRule="auto"/>
            </w:pPr>
            <w:r>
              <w:rPr>
                <w:rFonts w:ascii="Times New Roman" w:hAnsi="Times New Roman" w:eastAsia="宋体"/>
                <w:b w:val="0"/>
                <w:sz w:val="17"/>
              </w:rPr>
              <w:t>BNM 页面③</w:t>
            </w:r>
          </w:p>
        </w:tc>
      </w:tr>
      <w:tr w14:paraId="29B79123">
        <w:trPr>
          <w:jc w:val="center"/>
        </w:trPr>
        <w:tc>
          <w:tcPr>
            <w:tcW w:w="1701" w:type="dxa"/>
          </w:tcPr>
          <w:p w14:paraId="1E67F1F3">
            <w:pPr>
              <w:spacing w:after="0" w:line="240" w:lineRule="auto"/>
            </w:pPr>
            <w:r>
              <w:rPr>
                <w:rFonts w:ascii="Times New Roman" w:hAnsi="Times New Roman" w:eastAsia="宋体"/>
                <w:b w:val="0"/>
                <w:sz w:val="17"/>
              </w:rPr>
              <w:t>无独立编号（以届次标识）</w:t>
            </w:r>
          </w:p>
        </w:tc>
        <w:tc>
          <w:tcPr>
            <w:tcW w:w="1134" w:type="dxa"/>
          </w:tcPr>
          <w:p w14:paraId="3327FDF3">
            <w:pPr>
              <w:spacing w:after="0" w:line="240" w:lineRule="auto"/>
            </w:pPr>
            <w:r>
              <w:rPr>
                <w:rFonts w:ascii="Times New Roman" w:hAnsi="Times New Roman" w:eastAsia="宋体"/>
                <w:b w:val="0"/>
                <w:sz w:val="17"/>
              </w:rPr>
              <w:t>第213次</w:t>
            </w:r>
          </w:p>
        </w:tc>
        <w:tc>
          <w:tcPr>
            <w:tcW w:w="1474" w:type="dxa"/>
          </w:tcPr>
          <w:p w14:paraId="0D780B6A">
            <w:pPr>
              <w:spacing w:after="0" w:line="240" w:lineRule="auto"/>
            </w:pPr>
            <w:r>
              <w:rPr>
                <w:rFonts w:ascii="Times New Roman" w:hAnsi="Times New Roman" w:eastAsia="宋体"/>
                <w:b w:val="0"/>
                <w:sz w:val="17"/>
              </w:rPr>
              <w:t>2021-04-27</w:t>
            </w:r>
          </w:p>
        </w:tc>
        <w:tc>
          <w:tcPr>
            <w:tcW w:w="3969" w:type="dxa"/>
          </w:tcPr>
          <w:p w14:paraId="64CDCE26">
            <w:pPr>
              <w:spacing w:after="0" w:line="240" w:lineRule="auto"/>
            </w:pPr>
            <w:r>
              <w:rPr>
                <w:rFonts w:ascii="Times New Roman" w:hAnsi="Times New Roman" w:eastAsia="宋体"/>
                <w:b w:val="0"/>
                <w:sz w:val="17"/>
              </w:rPr>
              <w:t>qard（interest-free loan 无息贷款）在 MFRS 17/9 下的计量方法获准，因即便适用货币时间价值，qard 偿还总额也不增加</w:t>
            </w:r>
          </w:p>
        </w:tc>
        <w:tc>
          <w:tcPr>
            <w:tcW w:w="1361" w:type="dxa"/>
          </w:tcPr>
          <w:p w14:paraId="4F755621">
            <w:pPr>
              <w:spacing w:after="0" w:line="240" w:lineRule="auto"/>
            </w:pPr>
            <w:r>
              <w:rPr>
                <w:rFonts w:ascii="Times New Roman" w:hAnsi="Times New Roman" w:eastAsia="宋体"/>
                <w:b w:val="0"/>
                <w:sz w:val="17"/>
              </w:rPr>
              <w:t>BNM 页面④</w:t>
            </w:r>
          </w:p>
        </w:tc>
      </w:tr>
    </w:tbl>
    <w:p w14:paraId="3DC3FE13">
      <w:pPr>
        <w:spacing w:after="80"/>
      </w:pPr>
      <w:r>
        <w:rPr>
          <w:rFonts w:ascii="Times New Roman" w:hAnsi="Times New Roman" w:eastAsia="宋体"/>
          <w:b w:val="0"/>
          <w:i w:val="0"/>
          <w:sz w:val="16"/>
        </w:rPr>
        <w:t>① https://www.bnm.gov.my/-/resolutions-of-shariah-advisory-council-bank-negara-malaysia</w:t>
      </w:r>
    </w:p>
    <w:p w14:paraId="6E04951D">
      <w:pPr>
        <w:spacing w:after="80"/>
      </w:pPr>
      <w:r>
        <w:rPr>
          <w:rFonts w:ascii="Times New Roman" w:hAnsi="Times New Roman" w:eastAsia="宋体"/>
          <w:b w:val="0"/>
          <w:i w:val="0"/>
          <w:sz w:val="16"/>
        </w:rPr>
        <w:t>② https://www.bnm.gov.my/documents/6319173/6348793/0099TA%60WIDH.pdf</w:t>
      </w:r>
    </w:p>
    <w:p w14:paraId="374D16E1">
      <w:pPr>
        <w:spacing w:after="80"/>
      </w:pPr>
      <w:r>
        <w:rPr>
          <w:rFonts w:ascii="Times New Roman" w:hAnsi="Times New Roman" w:eastAsia="宋体"/>
          <w:b w:val="0"/>
          <w:i w:val="0"/>
          <w:sz w:val="16"/>
        </w:rPr>
        <w:t>③ https://www.bnm.gov.my/-/ruling-of-the-bank-s-shariah-advisory-council-on-the-adoption-of-risk-free-rate</w:t>
      </w:r>
    </w:p>
    <w:p w14:paraId="72F6D55A">
      <w:pPr>
        <w:spacing w:after="160"/>
      </w:pPr>
      <w:r>
        <w:rPr>
          <w:rFonts w:ascii="Times New Roman" w:hAnsi="Times New Roman" w:eastAsia="宋体"/>
          <w:b w:val="0"/>
          <w:i w:val="0"/>
          <w:sz w:val="16"/>
        </w:rPr>
        <w:t>④ https://www.bnm.gov.my/-/sac20210708</w:t>
      </w:r>
    </w:p>
    <w:p w14:paraId="71A76E4D">
      <w:r>
        <w:rPr>
          <w:rFonts w:ascii="Times New Roman" w:hAnsi="Times New Roman" w:eastAsia="黑体"/>
          <w:b/>
          <w:color w:val="1F3A5F"/>
          <w:sz w:val="30"/>
        </w:rPr>
        <w:t>五、C 表：仅在论证中提及 riba 的间接裁决（备查，勿误采为 riba 专门裁决）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2220"/>
        <w:gridCol w:w="5436"/>
      </w:tblGrid>
      <w:tr w14:paraId="36CFEC63">
        <w:trPr>
          <w:jc w:val="center"/>
        </w:trPr>
        <w:tc>
          <w:tcPr>
            <w:tcW w:w="1247" w:type="dxa"/>
            <w:shd w:val="clear" w:color="auto" w:fill="1F3A5F"/>
          </w:tcPr>
          <w:p w14:paraId="4048F856">
            <w:pPr>
              <w:spacing w:after="0" w:line="240" w:lineRule="auto"/>
            </w:pPr>
            <w:r>
              <w:rPr>
                <w:rFonts w:ascii="Times New Roman" w:hAnsi="Times New Roman" w:eastAsia="黑体"/>
                <w:b/>
                <w:color w:val="FFFFFF"/>
                <w:sz w:val="17"/>
              </w:rPr>
              <w:t>fatwa_id</w:t>
            </w:r>
          </w:p>
        </w:tc>
        <w:tc>
          <w:tcPr>
            <w:tcW w:w="2438" w:type="dxa"/>
            <w:shd w:val="clear" w:color="auto" w:fill="1F3A5F"/>
          </w:tcPr>
          <w:p w14:paraId="0C66F777">
            <w:pPr>
              <w:spacing w:after="0" w:line="240" w:lineRule="auto"/>
            </w:pPr>
            <w:r>
              <w:rPr>
                <w:rFonts w:ascii="Times New Roman" w:hAnsi="Times New Roman" w:eastAsia="黑体"/>
                <w:b/>
                <w:color w:val="FFFFFF"/>
                <w:sz w:val="17"/>
              </w:rPr>
              <w:t>届次 / 日期</w:t>
            </w:r>
          </w:p>
        </w:tc>
        <w:tc>
          <w:tcPr>
            <w:tcW w:w="5953" w:type="dxa"/>
            <w:shd w:val="clear" w:color="auto" w:fill="1F3A5F"/>
          </w:tcPr>
          <w:p w14:paraId="30E6DEFF">
            <w:pPr>
              <w:spacing w:after="0" w:line="240" w:lineRule="auto"/>
            </w:pPr>
            <w:r>
              <w:rPr>
                <w:rFonts w:ascii="Times New Roman" w:hAnsi="Times New Roman" w:eastAsia="黑体"/>
                <w:b/>
                <w:color w:val="FFFFFF"/>
                <w:sz w:val="17"/>
              </w:rPr>
              <w:t>riba 出现方式（非专门处理利息）</w:t>
            </w:r>
          </w:p>
        </w:tc>
      </w:tr>
      <w:tr w14:paraId="714677DF">
        <w:trPr>
          <w:jc w:val="center"/>
        </w:trPr>
        <w:tc>
          <w:tcPr>
            <w:tcW w:w="1247" w:type="dxa"/>
          </w:tcPr>
          <w:p w14:paraId="43E36DEC">
            <w:pPr>
              <w:spacing w:after="0" w:line="240" w:lineRule="auto"/>
            </w:pPr>
            <w:r>
              <w:rPr>
                <w:rFonts w:ascii="Times New Roman" w:hAnsi="Times New Roman" w:eastAsia="宋体"/>
                <w:b w:val="0"/>
                <w:sz w:val="17"/>
              </w:rPr>
              <w:t>No.60</w:t>
            </w:r>
          </w:p>
        </w:tc>
        <w:tc>
          <w:tcPr>
            <w:tcW w:w="2438" w:type="dxa"/>
          </w:tcPr>
          <w:p w14:paraId="39723EC2">
            <w:pPr>
              <w:spacing w:after="0" w:line="240" w:lineRule="auto"/>
            </w:pPr>
            <w:r>
              <w:rPr>
                <w:rFonts w:ascii="Times New Roman" w:hAnsi="Times New Roman" w:eastAsia="宋体"/>
                <w:b w:val="0"/>
                <w:sz w:val="17"/>
              </w:rPr>
              <w:t>第51次 / 2005-07-28</w:t>
            </w:r>
          </w:p>
        </w:tc>
        <w:tc>
          <w:tcPr>
            <w:tcW w:w="5953" w:type="dxa"/>
          </w:tcPr>
          <w:p w14:paraId="2E03CC43">
            <w:pPr>
              <w:spacing w:after="0" w:line="240" w:lineRule="auto"/>
            </w:pPr>
            <w:r>
              <w:rPr>
                <w:rFonts w:ascii="Times New Roman" w:hAnsi="Times New Roman" w:eastAsia="宋体"/>
                <w:b w:val="0"/>
                <w:sz w:val="17"/>
              </w:rPr>
              <w:t>tawarruq 存款产品，论证中引用“真主准许买卖、禁止 riba”经文</w:t>
            </w:r>
          </w:p>
        </w:tc>
      </w:tr>
      <w:tr w14:paraId="4D5C7607">
        <w:trPr>
          <w:jc w:val="center"/>
        </w:trPr>
        <w:tc>
          <w:tcPr>
            <w:tcW w:w="1247" w:type="dxa"/>
          </w:tcPr>
          <w:p w14:paraId="5D917F9E">
            <w:pPr>
              <w:spacing w:after="0" w:line="240" w:lineRule="auto"/>
            </w:pPr>
            <w:r>
              <w:rPr>
                <w:rFonts w:ascii="Times New Roman" w:hAnsi="Times New Roman" w:eastAsia="宋体"/>
                <w:b w:val="0"/>
                <w:sz w:val="17"/>
              </w:rPr>
              <w:t>No.70</w:t>
            </w:r>
          </w:p>
        </w:tc>
        <w:tc>
          <w:tcPr>
            <w:tcW w:w="2438" w:type="dxa"/>
          </w:tcPr>
          <w:p w14:paraId="0C09D4D7">
            <w:pPr>
              <w:spacing w:after="0" w:line="240" w:lineRule="auto"/>
            </w:pPr>
            <w:r>
              <w:rPr>
                <w:rFonts w:ascii="Times New Roman" w:hAnsi="Times New Roman" w:eastAsia="宋体"/>
                <w:b w:val="0"/>
                <w:sz w:val="17"/>
              </w:rPr>
              <w:t>第8次 / 1998-12-12</w:t>
            </w:r>
          </w:p>
        </w:tc>
        <w:tc>
          <w:tcPr>
            <w:tcW w:w="5953" w:type="dxa"/>
          </w:tcPr>
          <w:p w14:paraId="4A8D8C87">
            <w:pPr>
              <w:spacing w:after="0" w:line="240" w:lineRule="auto"/>
            </w:pPr>
            <w:r>
              <w:rPr>
                <w:rFonts w:ascii="Times New Roman" w:hAnsi="Times New Roman" w:eastAsia="宋体"/>
                <w:b w:val="0"/>
                <w:sz w:val="17"/>
              </w:rPr>
              <w:t>伊斯兰同业市场 bai’ inah，要求标的为 non-ribawi 物品</w:t>
            </w:r>
          </w:p>
        </w:tc>
      </w:tr>
      <w:tr w14:paraId="2772A6AA">
        <w:trPr>
          <w:jc w:val="center"/>
        </w:trPr>
        <w:tc>
          <w:tcPr>
            <w:tcW w:w="1247" w:type="dxa"/>
          </w:tcPr>
          <w:p w14:paraId="5BBE60EF">
            <w:pPr>
              <w:spacing w:after="0" w:line="240" w:lineRule="auto"/>
            </w:pPr>
            <w:r>
              <w:rPr>
                <w:rFonts w:ascii="Times New Roman" w:hAnsi="Times New Roman" w:eastAsia="宋体"/>
                <w:b w:val="0"/>
                <w:sz w:val="17"/>
              </w:rPr>
              <w:t>No.73</w:t>
            </w:r>
          </w:p>
        </w:tc>
        <w:tc>
          <w:tcPr>
            <w:tcW w:w="2438" w:type="dxa"/>
          </w:tcPr>
          <w:p w14:paraId="463B84CA">
            <w:pPr>
              <w:spacing w:after="0" w:line="240" w:lineRule="auto"/>
            </w:pPr>
            <w:r>
              <w:rPr>
                <w:rFonts w:ascii="Times New Roman" w:hAnsi="Times New Roman" w:eastAsia="宋体"/>
                <w:b w:val="0"/>
                <w:sz w:val="17"/>
              </w:rPr>
              <w:t>第82次 / 2009-02-17</w:t>
            </w:r>
          </w:p>
        </w:tc>
        <w:tc>
          <w:tcPr>
            <w:tcW w:w="5953" w:type="dxa"/>
          </w:tcPr>
          <w:p w14:paraId="3AEA929F">
            <w:pPr>
              <w:spacing w:after="0" w:line="240" w:lineRule="auto"/>
            </w:pPr>
            <w:r>
              <w:rPr>
                <w:rFonts w:ascii="Times New Roman" w:hAnsi="Times New Roman" w:eastAsia="宋体"/>
                <w:b w:val="0"/>
                <w:sz w:val="17"/>
              </w:rPr>
              <w:t>bai’ inah 中绑定回购约定致合同无效，论证涉及 riba</w:t>
            </w:r>
          </w:p>
        </w:tc>
      </w:tr>
      <w:tr w14:paraId="001B5530">
        <w:trPr>
          <w:jc w:val="center"/>
        </w:trPr>
        <w:tc>
          <w:tcPr>
            <w:tcW w:w="1247" w:type="dxa"/>
          </w:tcPr>
          <w:p w14:paraId="7EF90199">
            <w:pPr>
              <w:spacing w:after="0" w:line="240" w:lineRule="auto"/>
            </w:pPr>
            <w:r>
              <w:rPr>
                <w:rFonts w:ascii="Times New Roman" w:hAnsi="Times New Roman" w:eastAsia="宋体"/>
                <w:b w:val="0"/>
                <w:sz w:val="17"/>
              </w:rPr>
              <w:t>No.76</w:t>
            </w:r>
          </w:p>
        </w:tc>
        <w:tc>
          <w:tcPr>
            <w:tcW w:w="2438" w:type="dxa"/>
          </w:tcPr>
          <w:p w14:paraId="59D9F84F">
            <w:pPr>
              <w:spacing w:after="0" w:line="240" w:lineRule="auto"/>
            </w:pPr>
            <w:r>
              <w:rPr>
                <w:rFonts w:ascii="Times New Roman" w:hAnsi="Times New Roman" w:eastAsia="宋体"/>
                <w:b w:val="0"/>
                <w:sz w:val="17"/>
              </w:rPr>
              <w:t>第35次 / 2003-05-22</w:t>
            </w:r>
          </w:p>
        </w:tc>
        <w:tc>
          <w:tcPr>
            <w:tcW w:w="5953" w:type="dxa"/>
          </w:tcPr>
          <w:p w14:paraId="51386981">
            <w:pPr>
              <w:spacing w:after="0" w:line="240" w:lineRule="auto"/>
            </w:pPr>
            <w:r>
              <w:rPr>
                <w:rFonts w:ascii="Times New Roman" w:hAnsi="Times New Roman" w:eastAsia="宋体"/>
                <w:b w:val="0"/>
                <w:sz w:val="17"/>
              </w:rPr>
              <w:t>wadi’ah 存款馈赠 hibah，避免形成类似 riba 的惯例</w:t>
            </w:r>
          </w:p>
        </w:tc>
      </w:tr>
      <w:tr w14:paraId="5853E947">
        <w:trPr>
          <w:jc w:val="center"/>
        </w:trPr>
        <w:tc>
          <w:tcPr>
            <w:tcW w:w="1247" w:type="dxa"/>
          </w:tcPr>
          <w:p w14:paraId="3FBA3B14">
            <w:pPr>
              <w:spacing w:after="0" w:line="240" w:lineRule="auto"/>
            </w:pPr>
            <w:r>
              <w:rPr>
                <w:rFonts w:ascii="Times New Roman" w:hAnsi="Times New Roman" w:eastAsia="宋体"/>
                <w:b w:val="0"/>
                <w:sz w:val="17"/>
              </w:rPr>
              <w:t>No.80</w:t>
            </w:r>
          </w:p>
        </w:tc>
        <w:tc>
          <w:tcPr>
            <w:tcW w:w="2438" w:type="dxa"/>
          </w:tcPr>
          <w:p w14:paraId="73EC25DF">
            <w:pPr>
              <w:spacing w:after="0" w:line="240" w:lineRule="auto"/>
            </w:pPr>
            <w:r>
              <w:rPr>
                <w:rFonts w:ascii="Times New Roman" w:hAnsi="Times New Roman" w:eastAsia="宋体"/>
                <w:b w:val="0"/>
                <w:sz w:val="17"/>
              </w:rPr>
              <w:t>第63次 2006-12-27；第64次 2007-01-18</w:t>
            </w:r>
          </w:p>
        </w:tc>
        <w:tc>
          <w:tcPr>
            <w:tcW w:w="5953" w:type="dxa"/>
          </w:tcPr>
          <w:p w14:paraId="4D926B8F">
            <w:pPr>
              <w:spacing w:after="0" w:line="240" w:lineRule="auto"/>
            </w:pPr>
            <w:r>
              <w:rPr>
                <w:rFonts w:ascii="Times New Roman" w:hAnsi="Times New Roman" w:eastAsia="宋体"/>
                <w:b w:val="0"/>
                <w:sz w:val="17"/>
              </w:rPr>
              <w:t>挂钩存款账户的房贷 ibra’，间接涉及</w:t>
            </w:r>
          </w:p>
        </w:tc>
      </w:tr>
      <w:tr w14:paraId="188F1851">
        <w:trPr>
          <w:jc w:val="center"/>
        </w:trPr>
        <w:tc>
          <w:tcPr>
            <w:tcW w:w="1247" w:type="dxa"/>
          </w:tcPr>
          <w:p w14:paraId="616624FB">
            <w:pPr>
              <w:spacing w:after="0" w:line="240" w:lineRule="auto"/>
            </w:pPr>
            <w:r>
              <w:rPr>
                <w:rFonts w:ascii="Times New Roman" w:hAnsi="Times New Roman" w:eastAsia="宋体"/>
                <w:b w:val="0"/>
                <w:sz w:val="17"/>
              </w:rPr>
              <w:t>No.89</w:t>
            </w:r>
          </w:p>
        </w:tc>
        <w:tc>
          <w:tcPr>
            <w:tcW w:w="2438" w:type="dxa"/>
          </w:tcPr>
          <w:p w14:paraId="0DB2B874">
            <w:pPr>
              <w:spacing w:after="0" w:line="240" w:lineRule="auto"/>
            </w:pPr>
            <w:r>
              <w:rPr>
                <w:rFonts w:ascii="Times New Roman" w:hAnsi="Times New Roman" w:eastAsia="宋体"/>
                <w:b w:val="0"/>
                <w:sz w:val="17"/>
              </w:rPr>
              <w:t>第18次 / 2001-04-12</w:t>
            </w:r>
          </w:p>
        </w:tc>
        <w:tc>
          <w:tcPr>
            <w:tcW w:w="5953" w:type="dxa"/>
          </w:tcPr>
          <w:p w14:paraId="50EA765D">
            <w:pPr>
              <w:spacing w:after="0" w:line="240" w:lineRule="auto"/>
            </w:pPr>
            <w:r>
              <w:rPr>
                <w:rFonts w:ascii="Times New Roman" w:hAnsi="Times New Roman" w:eastAsia="宋体"/>
                <w:b w:val="0"/>
                <w:sz w:val="17"/>
              </w:rPr>
              <w:t>bai’ inah+wadi’ah 信用卡，要求规避 riba 元素</w:t>
            </w:r>
          </w:p>
        </w:tc>
      </w:tr>
      <w:tr w14:paraId="022C0A0E">
        <w:trPr>
          <w:jc w:val="center"/>
        </w:trPr>
        <w:tc>
          <w:tcPr>
            <w:tcW w:w="1247" w:type="dxa"/>
          </w:tcPr>
          <w:p w14:paraId="2B4E65BB">
            <w:pPr>
              <w:spacing w:after="0" w:line="240" w:lineRule="auto"/>
            </w:pPr>
            <w:r>
              <w:rPr>
                <w:rFonts w:ascii="Times New Roman" w:hAnsi="Times New Roman" w:eastAsia="宋体"/>
                <w:b w:val="0"/>
                <w:sz w:val="17"/>
              </w:rPr>
              <w:t>No.93</w:t>
            </w:r>
          </w:p>
        </w:tc>
        <w:tc>
          <w:tcPr>
            <w:tcW w:w="2438" w:type="dxa"/>
          </w:tcPr>
          <w:p w14:paraId="57B0D1E1">
            <w:pPr>
              <w:spacing w:after="0" w:line="240" w:lineRule="auto"/>
            </w:pPr>
            <w:r>
              <w:rPr>
                <w:rFonts w:ascii="Times New Roman" w:hAnsi="Times New Roman" w:eastAsia="宋体"/>
                <w:b w:val="0"/>
                <w:sz w:val="17"/>
              </w:rPr>
              <w:t>第78次 / 2008-07-30</w:t>
            </w:r>
          </w:p>
        </w:tc>
        <w:tc>
          <w:tcPr>
            <w:tcW w:w="5953" w:type="dxa"/>
          </w:tcPr>
          <w:p w14:paraId="43E221F6">
            <w:pPr>
              <w:spacing w:after="0" w:line="240" w:lineRule="auto"/>
            </w:pPr>
            <w:r>
              <w:rPr>
                <w:rFonts w:ascii="Times New Roman" w:hAnsi="Times New Roman" w:eastAsia="宋体"/>
                <w:b w:val="0"/>
                <w:sz w:val="17"/>
              </w:rPr>
              <w:t>wakalah+kafalah 信用卡 ujrah 计费，间接涉及</w:t>
            </w:r>
          </w:p>
        </w:tc>
      </w:tr>
      <w:tr w14:paraId="7D953031">
        <w:trPr>
          <w:jc w:val="center"/>
        </w:trPr>
        <w:tc>
          <w:tcPr>
            <w:tcW w:w="1247" w:type="dxa"/>
          </w:tcPr>
          <w:p w14:paraId="78AFB866">
            <w:pPr>
              <w:spacing w:after="0" w:line="240" w:lineRule="auto"/>
            </w:pPr>
            <w:r>
              <w:rPr>
                <w:rFonts w:ascii="Times New Roman" w:hAnsi="Times New Roman" w:eastAsia="宋体"/>
                <w:b w:val="0"/>
                <w:sz w:val="17"/>
              </w:rPr>
              <w:t>No.94</w:t>
            </w:r>
          </w:p>
        </w:tc>
        <w:tc>
          <w:tcPr>
            <w:tcW w:w="2438" w:type="dxa"/>
          </w:tcPr>
          <w:p w14:paraId="33A020BB">
            <w:pPr>
              <w:spacing w:after="0" w:line="240" w:lineRule="auto"/>
            </w:pPr>
            <w:r>
              <w:rPr>
                <w:rFonts w:ascii="Times New Roman" w:hAnsi="Times New Roman" w:eastAsia="宋体"/>
                <w:b w:val="0"/>
                <w:sz w:val="17"/>
              </w:rPr>
              <w:t>第5次 / 1998-04-30</w:t>
            </w:r>
          </w:p>
        </w:tc>
        <w:tc>
          <w:tcPr>
            <w:tcW w:w="5953" w:type="dxa"/>
          </w:tcPr>
          <w:p w14:paraId="784C25EE">
            <w:pPr>
              <w:spacing w:after="0" w:line="240" w:lineRule="auto"/>
            </w:pPr>
            <w:r>
              <w:rPr>
                <w:rFonts w:ascii="Times New Roman" w:hAnsi="Times New Roman" w:eastAsia="宋体"/>
                <w:b w:val="0"/>
                <w:sz w:val="17"/>
              </w:rPr>
              <w:t>wadi’ah+mudarabah 往来账户，论证避免 riba/gharar/maysir</w:t>
            </w:r>
          </w:p>
        </w:tc>
      </w:tr>
      <w:tr w14:paraId="41A93F1D">
        <w:trPr>
          <w:jc w:val="center"/>
        </w:trPr>
        <w:tc>
          <w:tcPr>
            <w:tcW w:w="1247" w:type="dxa"/>
          </w:tcPr>
          <w:p w14:paraId="13EE9DEE">
            <w:pPr>
              <w:spacing w:after="0" w:line="240" w:lineRule="auto"/>
            </w:pPr>
            <w:r>
              <w:rPr>
                <w:rFonts w:ascii="Times New Roman" w:hAnsi="Times New Roman" w:eastAsia="宋体"/>
                <w:b w:val="0"/>
                <w:sz w:val="17"/>
              </w:rPr>
              <w:t>No.129</w:t>
            </w:r>
          </w:p>
        </w:tc>
        <w:tc>
          <w:tcPr>
            <w:tcW w:w="2438" w:type="dxa"/>
          </w:tcPr>
          <w:p w14:paraId="5EB54F10">
            <w:pPr>
              <w:spacing w:after="0" w:line="240" w:lineRule="auto"/>
            </w:pPr>
            <w:r>
              <w:rPr>
                <w:rFonts w:ascii="Times New Roman" w:hAnsi="Times New Roman" w:eastAsia="宋体"/>
                <w:b w:val="0"/>
                <w:sz w:val="17"/>
              </w:rPr>
              <w:t>第19次 / 2001-08-20</w:t>
            </w:r>
          </w:p>
        </w:tc>
        <w:tc>
          <w:tcPr>
            <w:tcW w:w="5953" w:type="dxa"/>
          </w:tcPr>
          <w:p w14:paraId="7D15C8B5">
            <w:pPr>
              <w:spacing w:after="0" w:line="240" w:lineRule="auto"/>
            </w:pPr>
            <w:r>
              <w:rPr>
                <w:rFonts w:ascii="Times New Roman" w:hAnsi="Times New Roman" w:eastAsia="宋体"/>
                <w:b w:val="0"/>
                <w:sz w:val="17"/>
              </w:rPr>
              <w:t>递延交易标的，区分 ribawi 物品与债务类资产</w:t>
            </w:r>
          </w:p>
        </w:tc>
      </w:tr>
      <w:tr w14:paraId="3B8AF455">
        <w:trPr>
          <w:jc w:val="center"/>
        </w:trPr>
        <w:tc>
          <w:tcPr>
            <w:tcW w:w="1247" w:type="dxa"/>
          </w:tcPr>
          <w:p w14:paraId="1091B1EB">
            <w:pPr>
              <w:spacing w:after="0" w:line="240" w:lineRule="auto"/>
            </w:pPr>
            <w:r>
              <w:rPr>
                <w:rFonts w:ascii="Times New Roman" w:hAnsi="Times New Roman" w:eastAsia="宋体"/>
                <w:b w:val="0"/>
                <w:sz w:val="17"/>
              </w:rPr>
              <w:t>No.132</w:t>
            </w:r>
          </w:p>
        </w:tc>
        <w:tc>
          <w:tcPr>
            <w:tcW w:w="2438" w:type="dxa"/>
          </w:tcPr>
          <w:p w14:paraId="1F9D6A90">
            <w:pPr>
              <w:spacing w:after="0" w:line="240" w:lineRule="auto"/>
            </w:pPr>
            <w:r>
              <w:rPr>
                <w:rFonts w:ascii="Times New Roman" w:hAnsi="Times New Roman" w:eastAsia="宋体"/>
                <w:b w:val="0"/>
                <w:sz w:val="17"/>
              </w:rPr>
              <w:t>第26次 / 2002-06-26</w:t>
            </w:r>
          </w:p>
        </w:tc>
        <w:tc>
          <w:tcPr>
            <w:tcW w:w="5953" w:type="dxa"/>
          </w:tcPr>
          <w:p w14:paraId="26B9D561">
            <w:pPr>
              <w:spacing w:after="0" w:line="240" w:lineRule="auto"/>
            </w:pPr>
            <w:r>
              <w:rPr>
                <w:rFonts w:ascii="Times New Roman" w:hAnsi="Times New Roman" w:eastAsia="宋体"/>
                <w:b w:val="0"/>
                <w:sz w:val="17"/>
              </w:rPr>
              <w:t>一级交易商投标机制，认定“无 riba 元素”而合规</w:t>
            </w:r>
          </w:p>
        </w:tc>
      </w:tr>
      <w:tr w14:paraId="0A9E118E">
        <w:trPr>
          <w:jc w:val="center"/>
        </w:trPr>
        <w:tc>
          <w:tcPr>
            <w:tcW w:w="1247" w:type="dxa"/>
          </w:tcPr>
          <w:p w14:paraId="15DBD35B">
            <w:pPr>
              <w:spacing w:after="0" w:line="240" w:lineRule="auto"/>
            </w:pPr>
            <w:r>
              <w:rPr>
                <w:rFonts w:ascii="Times New Roman" w:hAnsi="Times New Roman" w:eastAsia="宋体"/>
                <w:b w:val="0"/>
                <w:sz w:val="17"/>
              </w:rPr>
              <w:t>No.135</w:t>
            </w:r>
          </w:p>
        </w:tc>
        <w:tc>
          <w:tcPr>
            <w:tcW w:w="2438" w:type="dxa"/>
          </w:tcPr>
          <w:p w14:paraId="3ABACD73">
            <w:pPr>
              <w:spacing w:after="0" w:line="240" w:lineRule="auto"/>
            </w:pPr>
            <w:r>
              <w:rPr>
                <w:rFonts w:ascii="Times New Roman" w:hAnsi="Times New Roman" w:eastAsia="宋体"/>
                <w:b w:val="0"/>
                <w:sz w:val="17"/>
              </w:rPr>
              <w:t>第66次 / 2007-02-22</w:t>
            </w:r>
          </w:p>
        </w:tc>
        <w:tc>
          <w:tcPr>
            <w:tcW w:w="5953" w:type="dxa"/>
          </w:tcPr>
          <w:p w14:paraId="39203FA2">
            <w:pPr>
              <w:spacing w:after="0" w:line="240" w:lineRule="auto"/>
            </w:pPr>
            <w:r>
              <w:rPr>
                <w:rFonts w:ascii="Times New Roman" w:hAnsi="Times New Roman" w:eastAsia="宋体"/>
                <w:b w:val="0"/>
                <w:sz w:val="17"/>
              </w:rPr>
              <w:t>伊斯兰批量贴现，论证规避 riba nasi’ah（钱生钱）</w:t>
            </w:r>
          </w:p>
        </w:tc>
      </w:tr>
    </w:tbl>
    <w:p w14:paraId="050C7E2B">
      <w:r>
        <w:rPr>
          <w:rFonts w:ascii="Times New Roman" w:hAnsi="Times New Roman" w:eastAsia="黑体"/>
          <w:b/>
          <w:color w:val="1F3A5F"/>
          <w:sz w:val="30"/>
        </w:rPr>
        <w:t>六、最核心两条的英文原文（可直接引用）</w:t>
      </w:r>
    </w:p>
    <w:p w14:paraId="14E3AE9A">
      <w:pPr>
        <w:spacing w:after="20"/>
      </w:pPr>
      <w:r>
        <w:rPr>
          <w:rFonts w:ascii="Times New Roman" w:hAnsi="Times New Roman" w:eastAsia="宋体"/>
          <w:b/>
          <w:i w:val="0"/>
          <w:sz w:val="21"/>
        </w:rPr>
        <w:t>Resolution No.81（第4/95/101次会议，汇编 p.149–151）关键句：</w:t>
      </w:r>
    </w:p>
    <w:p w14:paraId="686472CA">
      <w:pPr>
        <w:ind w:left="340"/>
      </w:pPr>
      <w:r>
        <w:rPr>
          <w:rFonts w:ascii="Times New Roman" w:hAnsi="Times New Roman" w:eastAsia="宋体"/>
          <w:b w:val="0"/>
          <w:i/>
          <w:sz w:val="19"/>
        </w:rPr>
        <w:t>“In conventional financial system, the problems associated with default in loan repayment are controlled by charging interests or riba on customers. Since the imposition of interests or riba is prohibited by Shariah, Islamic financial institutions do not adopt this mechanism …”</w:t>
      </w:r>
    </w:p>
    <w:p w14:paraId="2F2C5951">
      <w:pPr>
        <w:spacing w:after="80"/>
        <w:ind w:left="283"/>
      </w:pPr>
      <w:r>
        <w:rPr>
          <w:rFonts w:ascii="Times New Roman" w:hAnsi="Times New Roman" w:eastAsia="宋体"/>
          <w:b w:val="0"/>
          <w:i w:val="0"/>
          <w:sz w:val="18"/>
        </w:rPr>
        <w:t>（译：传统金融体系靠向客户收取利息即 riba 来处理贷款违约；由于收取利息/riba 为沙里亚所禁止，伊斯兰金融机构不采用该机制……）</w:t>
      </w:r>
    </w:p>
    <w:p w14:paraId="5FEFC4DD">
      <w:pPr>
        <w:spacing w:after="20"/>
      </w:pPr>
      <w:r>
        <w:rPr>
          <w:rFonts w:ascii="Times New Roman" w:hAnsi="Times New Roman" w:eastAsia="宋体"/>
          <w:b/>
          <w:i w:val="0"/>
          <w:sz w:val="21"/>
        </w:rPr>
        <w:t>Resolution No.123（第71次会议 2007-10-26/27，汇编 p.215）关键句：</w:t>
      </w:r>
    </w:p>
    <w:p w14:paraId="658DB9C3">
      <w:pPr>
        <w:ind w:left="340"/>
      </w:pPr>
      <w:r>
        <w:rPr>
          <w:rFonts w:ascii="Times New Roman" w:hAnsi="Times New Roman" w:eastAsia="宋体"/>
          <w:b w:val="0"/>
          <w:i/>
          <w:sz w:val="19"/>
        </w:rPr>
        <w:t>“… the application of time value of money principle in Islamic financial reporting is permissible only for exchange contracts that involve deferred payment. However, it is strictly prohibited in debt-based transactions (qard).”</w:t>
      </w:r>
    </w:p>
    <w:p w14:paraId="1976D1E5">
      <w:pPr>
        <w:spacing w:after="160"/>
        <w:ind w:left="283"/>
      </w:pPr>
      <w:r>
        <w:rPr>
          <w:rFonts w:ascii="Times New Roman" w:hAnsi="Times New Roman" w:eastAsia="宋体"/>
          <w:b w:val="0"/>
          <w:i w:val="0"/>
          <w:sz w:val="18"/>
        </w:rPr>
        <w:t>（译：货币时间价值原则仅可用于涉及递延支付的交换合约；在债务类交易 qard 中则严格禁止。）</w:t>
      </w:r>
    </w:p>
    <w:p w14:paraId="33689E0A">
      <w:r>
        <w:rPr>
          <w:rFonts w:ascii="Times New Roman" w:hAnsi="Times New Roman" w:eastAsia="黑体"/>
          <w:b/>
          <w:color w:val="1F3A5F"/>
          <w:sz w:val="30"/>
        </w:rPr>
        <w:t>七、采集字段填写建议</w:t>
      </w:r>
    </w:p>
    <w:p w14:paraId="4F200EED">
      <w:pPr>
        <w:pStyle w:val="16"/>
      </w:pPr>
      <w:r>
        <w:rPr>
          <w:rFonts w:ascii="Times New Roman" w:hAnsi="Times New Roman" w:eastAsia="宋体"/>
          <w:b w:val="0"/>
          <w:sz w:val="20"/>
        </w:rPr>
        <w:t>fatwa_id：A表填 “Resolution No.XX（BNM, Shariah Resolutions in Islamic Finance, 2nd ed. 2010）”；B表填 “无独立编号，以第X次会议标识”（BNM 单次会议裁决不设 fatwa 编号，切勿自造编号）。</w:t>
      </w:r>
    </w:p>
    <w:p w14:paraId="24D796AD">
      <w:pPr>
        <w:pStyle w:val="16"/>
      </w:pPr>
      <w:r>
        <w:rPr>
          <w:rFonts w:ascii="Times New Roman" w:hAnsi="Times New Roman" w:eastAsia="宋体"/>
          <w:b w:val="0"/>
          <w:sz w:val="20"/>
        </w:rPr>
        <w:t>届次：填英文官方写法，如 “95th meeting”“101st meeting”“71st meeting”；特别会议标 “10th special meeting”。</w:t>
      </w:r>
    </w:p>
    <w:p w14:paraId="2B2D3B4E">
      <w:pPr>
        <w:pStyle w:val="16"/>
      </w:pPr>
      <w:r>
        <w:rPr>
          <w:rFonts w:ascii="Times New Roman" w:hAnsi="Times New Roman" w:eastAsia="宋体"/>
          <w:b w:val="0"/>
          <w:sz w:val="20"/>
        </w:rPr>
        <w:t>发布日期：以该决议最终通过的会议日期为准；经多届会议修订的（如 No.81/83/107）把各届日期都列出，并以最后一届为现行版本日期。</w:t>
      </w:r>
    </w:p>
    <w:p w14:paraId="0A86322F">
      <w:pPr>
        <w:pStyle w:val="16"/>
      </w:pPr>
      <w:r>
        <w:rPr>
          <w:rFonts w:ascii="Times New Roman" w:hAnsi="Times New Roman" w:eastAsia="宋体"/>
          <w:b w:val="0"/>
          <w:sz w:val="20"/>
        </w:rPr>
        <w:t>官方URL：A表统一填官方汇编书 BNM 链接（第二部分第1条）；B表填各自 BNM 页面链接。</w:t>
      </w:r>
    </w:p>
    <w:p w14:paraId="04E66516">
      <w:pPr>
        <w:pStyle w:val="16"/>
      </w:pPr>
      <w:r>
        <w:rPr>
          <w:rFonts w:ascii="Times New Roman" w:hAnsi="Times New Roman" w:eastAsia="宋体"/>
          <w:b w:val="0"/>
          <w:sz w:val="20"/>
        </w:rPr>
        <w:t>主题归类：A表＝直接（direct）；C表＝间接提及（incidental mention），不要把 C 表计为“riba 专门裁决”。</w:t>
      </w:r>
    </w:p>
    <w:p w14:paraId="245B0BDA">
      <w:r>
        <w:rPr>
          <w:rFonts w:ascii="Times New Roman" w:hAnsi="Times New Roman" w:eastAsia="黑体"/>
          <w:b/>
          <w:color w:val="1F3A5F"/>
          <w:sz w:val="30"/>
        </w:rPr>
        <w:t>八、核验记录与如实声明</w:t>
      </w:r>
    </w:p>
    <w:p w14:paraId="784DE297">
      <w:pPr>
        <w:pStyle w:val="16"/>
      </w:pPr>
      <w:r>
        <w:rPr>
          <w:rFonts w:ascii="Times New Roman" w:hAnsi="Times New Roman" w:eastAsia="宋体"/>
          <w:b w:val="0"/>
          <w:sz w:val="20"/>
        </w:rPr>
        <w:t>已完整提取官方汇编 248 页全文，检索全部 31 处 riba 出现位置，逐一向上定位其所属决议编号，并打开每个候选决议的 “Resolution” 正段核对真正的会议届次与日期（剔除“论证部分引用的其他历史会议”造成的错配）。</w:t>
      </w:r>
    </w:p>
    <w:p w14:paraId="5B9E957A">
      <w:pPr>
        <w:pStyle w:val="16"/>
      </w:pPr>
      <w:r>
        <w:rPr>
          <w:rFonts w:ascii="Times New Roman" w:hAnsi="Times New Roman" w:eastAsia="宋体"/>
          <w:b w:val="0"/>
          <w:sz w:val="20"/>
        </w:rPr>
        <w:t>B表每条均打开 bnm.gov.my 对应官方页面核读届次与日期（第95/101/12/30/210/213次）。A、B 两表全部条目均同时具备“届次+编号或日期+官方URL”，无编造、无“待核验”空缺；C表已明确降级为间接提及。</w:t>
      </w:r>
    </w:p>
    <w:p w14:paraId="2E4D422A">
      <w:pPr>
        <w:pStyle w:val="16"/>
      </w:pPr>
      <w:r>
        <w:rPr>
          <w:rFonts w:ascii="Times New Roman" w:hAnsi="Times New Roman" w:eastAsia="宋体"/>
          <w:b w:val="0"/>
          <w:sz w:val="20"/>
        </w:rPr>
        <w:t>BNM 官方未使用 “fatwa_id” 字段，本记录以官方汇编决议序号作为对应物，并对无独立编号的会议裁决如实标注，特此说明。</w:t>
      </w:r>
    </w:p>
    <w:p w14:paraId="506B4AA6">
      <w:pPr>
        <w:pStyle w:val="16"/>
      </w:pPr>
      <w:r>
        <w:rPr>
          <w:rFonts w:ascii="Times New Roman" w:hAnsi="Times New Roman" w:eastAsia="宋体"/>
          <w:b w:val="0"/>
          <w:sz w:val="20"/>
        </w:rPr>
        <w:t>当前网络环境无法从 bnm.gov.my 直接落地下载文件（SSL EOF/超时，多次重试无效），官方汇编书以公开副本逐字核对（© Bank Negara Malaysia 2010，248页），官方 URL 已全部列出供复核；该副本 MD5：08e35a8c9aa2faafc5285d8d9d794484。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FZXiaoBiaoSong-B05S">
    <w:panose1 w:val="02010601030101010101"/>
    <w:charset w:val="86"/>
    <w:family w:val="auto"/>
    <w:pitch w:val="default"/>
    <w:sig w:usb0="00000001" w:usb1="080E0000" w:usb2="00000000" w:usb3="00000000" w:csb0="00040000" w:csb1="00000000"/>
  </w:font>
  <w:font w:name="Kaiti SC">
    <w:panose1 w:val="02010600040101010101"/>
    <w:charset w:val="86"/>
    <w:family w:val="auto"/>
    <w:pitch w:val="default"/>
    <w:sig w:usb0="80000287" w:usb1="280F3C52" w:usb2="00000016" w:usb3="00000000" w:csb0="0004001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2EF77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刘金羽</cp:lastModifiedBy>
  <dcterms:modified xsi:type="dcterms:W3CDTF">2026-09-14T16:23:40Z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7DC29CE6E748F5B60CAFA76AE4F3178A_42</vt:lpwstr>
  </property>
</Properties>
</file>