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color w:val="1F3A5F"/>
          <w:sz w:val="32"/>
        </w:rPr>
        <w:t>马来西亚《2009年中央银行法》（CBA 2009, Act 701）</w:t>
      </w:r>
    </w:p>
    <w:p>
      <w:pPr>
        <w:jc w:val="center"/>
      </w:pPr>
      <w:r>
        <w:rPr>
          <w:rFonts w:ascii="Times New Roman" w:hAnsi="Times New Roman" w:eastAsia="黑体"/>
          <w:b/>
          <w:sz w:val="24"/>
        </w:rPr>
        <w:t>第 56 / 57 / 58 条（SAC 提交、裁决拘束力、裁决优先）· 官方原文采集记录（中文导读）</w:t>
      </w:r>
    </w:p>
    <w:p>
      <w:pPr>
        <w:jc w:val="center"/>
      </w:pPr>
      <w:r>
        <w:rPr>
          <w:rFonts w:ascii="Times New Roman" w:hAnsi="Times New Roman" w:eastAsia="宋体"/>
          <w:b w:val="0"/>
          <w:color w:val="666666"/>
          <w:sz w:val="18"/>
        </w:rPr>
        <w:t>检索与核验日期：2026-09-14　|　法案生效：2009-11-25　|　合订文本基准日：2020-11-01（含 Act A1616/2020 修订）</w:t>
      </w:r>
    </w:p>
    <w:p/>
    <w:p>
      <w:r>
        <w:rPr>
          <w:rFonts w:ascii="Times New Roman" w:hAnsi="Times New Roman" w:eastAsia="黑体"/>
          <w:b/>
          <w:color w:val="1F3A5F"/>
          <w:sz w:val="30"/>
        </w:rPr>
        <w:t>一、先看结论</w:t>
      </w:r>
    </w:p>
    <w:p>
      <w:pPr>
        <w:pStyle w:val="ListBullet"/>
      </w:pPr>
      <w:r>
        <w:rPr>
          <w:rFonts w:ascii="Times New Roman" w:hAnsi="Times New Roman" w:eastAsia="宋体"/>
          <w:b/>
          <w:sz w:val="21"/>
        </w:rPr>
        <w:t>① 官方PDF：</w:t>
      </w:r>
      <w:r>
        <w:rPr>
          <w:rFonts w:ascii="Times New Roman" w:hAnsi="Times New Roman" w:eastAsia="宋体"/>
          <w:b w:val="0"/>
          <w:sz w:val="21"/>
        </w:rPr>
        <w:t>官方 PDF 已下载交付：马来西亚总检察长署（AGC）联邦法律官网“Laws of Malaysia”的 Act 701 英文合订本（As at 1 November 2020，112页）。</w:t>
      </w:r>
    </w:p>
    <w:p>
      <w:pPr>
        <w:pStyle w:val="ListBullet"/>
      </w:pPr>
      <w:r>
        <w:rPr>
          <w:rFonts w:ascii="Times New Roman" w:hAnsi="Times New Roman" w:eastAsia="宋体"/>
          <w:b/>
          <w:sz w:val="21"/>
        </w:rPr>
        <w:t>② 原文准确性：</w:t>
      </w:r>
      <w:r>
        <w:rPr>
          <w:rFonts w:ascii="Times New Roman" w:hAnsi="Times New Roman" w:eastAsia="宋体"/>
          <w:b w:val="0"/>
          <w:sz w:val="21"/>
        </w:rPr>
        <w:t>三条原文已逐字提取、逐页渲染核对，并另用 2009 年原始文本独立交叉比对，文字完全一致；法案末尾“修订条款清单”显示第56/57/58条自 2009 年立法以来从未被修改，现行文本即原始有效文本。</w:t>
      </w:r>
    </w:p>
    <w:p>
      <w:pPr>
        <w:pStyle w:val="ListBullet"/>
      </w:pPr>
      <w:r>
        <w:rPr>
          <w:rFonts w:ascii="Times New Roman" w:hAnsi="Times New Roman" w:eastAsia="宋体"/>
          <w:b/>
          <w:sz w:val="21"/>
        </w:rPr>
        <w:t>③ 三条各管什么：</w:t>
      </w:r>
      <w:r>
        <w:rPr>
          <w:rFonts w:ascii="Times New Roman" w:hAnsi="Times New Roman" w:eastAsia="宋体"/>
          <w:b w:val="0"/>
          <w:sz w:val="21"/>
        </w:rPr>
        <w:t>第56条＝法院/仲裁遇到沙里亚问题必须“考虑SAC已公布裁决”或“提交SAC”；第57条＝SAC裁决对伊斯兰金融机构和提交问题的法院/仲裁有法律拘束力；第58条＝机构内部沙里亚委员会的意见与SAC冲突时，一律以SAC为准。</w:t>
      </w:r>
    </w:p>
    <w:p>
      <w:pPr>
        <w:pStyle w:val="ListBullet"/>
      </w:pPr>
      <w:r>
        <w:rPr>
          <w:rFonts w:ascii="Times New Roman" w:hAnsi="Times New Roman" w:eastAsia="宋体"/>
          <w:b/>
          <w:sz w:val="21"/>
        </w:rPr>
        <w:t>④ 与IFSA的关系：</w:t>
      </w:r>
      <w:r>
        <w:rPr>
          <w:rFonts w:ascii="Times New Roman" w:hAnsi="Times New Roman" w:eastAsia="宋体"/>
          <w:b w:val="0"/>
          <w:sz w:val="21"/>
        </w:rPr>
        <w:t>这三条正是上一份 IFSA 2013 记录中第28(2)条“符合SAC裁决即视为符合沙里亚”的上位法依据，共同构成马来西亚伊斯兰金融“沙里亚问题最终由 BNM-SAC 一锤定音”的制度核心。</w:t>
      </w:r>
    </w:p>
    <w:p>
      <w:r>
        <w:rPr>
          <w:rFonts w:ascii="Times New Roman" w:hAnsi="Times New Roman" w:eastAsia="黑体"/>
          <w:b/>
          <w:color w:val="1F3A5F"/>
          <w:sz w:val="30"/>
        </w:rPr>
        <w:t>二、法案身份信息</w:t>
      </w:r>
    </w:p>
    <w:tbl>
      <w:tblPr>
        <w:tblStyle w:val="TableGrid"/>
        <w:tblW w:type="auto" w:w="0"/>
        <w:jc w:val="center"/>
        <w:tblLook w:firstColumn="1" w:firstRow="1" w:lastColumn="0" w:lastRow="0" w:noHBand="0" w:noVBand="1" w:val="04A0"/>
      </w:tblPr>
      <w:tblGrid>
        <w:gridCol w:w="4320"/>
        <w:gridCol w:w="4320"/>
      </w:tblGrid>
      <w:tr>
        <w:tc>
          <w:tcPr>
            <w:tcW w:type="dxa" w:w="2551"/>
            <w:shd w:val="clear" w:fill="1F3A5F"/>
          </w:tcPr>
          <w:p>
            <w:r/>
            <w:r>
              <w:rPr>
                <w:rFonts w:ascii="Times New Roman" w:hAnsi="Times New Roman" w:eastAsia="黑体"/>
                <w:b/>
                <w:color w:val="FFFFFF"/>
                <w:sz w:val="19"/>
              </w:rPr>
              <w:t>项目</w:t>
            </w:r>
          </w:p>
        </w:tc>
        <w:tc>
          <w:tcPr>
            <w:tcW w:type="dxa" w:w="7087"/>
            <w:shd w:val="clear" w:fill="1F3A5F"/>
          </w:tcPr>
          <w:p>
            <w:r/>
            <w:r>
              <w:rPr>
                <w:rFonts w:ascii="Times New Roman" w:hAnsi="Times New Roman" w:eastAsia="黑体"/>
                <w:b/>
                <w:color w:val="FFFFFF"/>
                <w:sz w:val="19"/>
              </w:rPr>
              <w:t>内容</w:t>
            </w:r>
          </w:p>
        </w:tc>
      </w:tr>
      <w:tr>
        <w:tc>
          <w:tcPr>
            <w:tcW w:type="dxa" w:w="2551"/>
          </w:tcPr>
          <w:p>
            <w:r/>
            <w:r>
              <w:rPr>
                <w:rFonts w:ascii="Times New Roman" w:hAnsi="Times New Roman" w:eastAsia="宋体"/>
                <w:b w:val="0"/>
                <w:sz w:val="19"/>
              </w:rPr>
              <w:t>英文正式名称</w:t>
            </w:r>
          </w:p>
        </w:tc>
        <w:tc>
          <w:tcPr>
            <w:tcW w:type="dxa" w:w="7087"/>
          </w:tcPr>
          <w:p>
            <w:r/>
            <w:r>
              <w:rPr>
                <w:rFonts w:ascii="Times New Roman" w:hAnsi="Times New Roman" w:eastAsia="宋体"/>
                <w:b w:val="0"/>
                <w:sz w:val="19"/>
              </w:rPr>
              <w:t>Central Bank of Malaysia Act 2009（缩写 CBA / CBMA 2009）</w:t>
            </w:r>
          </w:p>
        </w:tc>
      </w:tr>
      <w:tr>
        <w:tc>
          <w:tcPr>
            <w:tcW w:type="dxa" w:w="2551"/>
          </w:tcPr>
          <w:p>
            <w:r/>
            <w:r>
              <w:rPr>
                <w:rFonts w:ascii="Times New Roman" w:hAnsi="Times New Roman" w:eastAsia="宋体"/>
                <w:b w:val="0"/>
                <w:sz w:val="19"/>
              </w:rPr>
              <w:t>中文译名</w:t>
            </w:r>
          </w:p>
        </w:tc>
        <w:tc>
          <w:tcPr>
            <w:tcW w:type="dxa" w:w="7087"/>
          </w:tcPr>
          <w:p>
            <w:r/>
            <w:r>
              <w:rPr>
                <w:rFonts w:ascii="Times New Roman" w:hAnsi="Times New Roman" w:eastAsia="宋体"/>
                <w:b w:val="0"/>
                <w:sz w:val="19"/>
              </w:rPr>
              <w:t>《2009年马来西亚中央银行法》（设立并规范马来西亚国家银行 BNM）</w:t>
            </w:r>
          </w:p>
        </w:tc>
      </w:tr>
      <w:tr>
        <w:tc>
          <w:tcPr>
            <w:tcW w:type="dxa" w:w="2551"/>
          </w:tcPr>
          <w:p>
            <w:r/>
            <w:r>
              <w:rPr>
                <w:rFonts w:ascii="Times New Roman" w:hAnsi="Times New Roman" w:eastAsia="宋体"/>
                <w:b w:val="0"/>
                <w:sz w:val="19"/>
              </w:rPr>
              <w:t>法案编号</w:t>
            </w:r>
          </w:p>
        </w:tc>
        <w:tc>
          <w:tcPr>
            <w:tcW w:type="dxa" w:w="7087"/>
          </w:tcPr>
          <w:p>
            <w:r/>
            <w:r>
              <w:rPr>
                <w:rFonts w:ascii="Times New Roman" w:hAnsi="Times New Roman" w:eastAsia="宋体"/>
                <w:b w:val="0"/>
                <w:sz w:val="19"/>
              </w:rPr>
              <w:t>Act 701</w:t>
            </w:r>
          </w:p>
        </w:tc>
      </w:tr>
      <w:tr>
        <w:tc>
          <w:tcPr>
            <w:tcW w:type="dxa" w:w="2551"/>
          </w:tcPr>
          <w:p>
            <w:r/>
            <w:r>
              <w:rPr>
                <w:rFonts w:ascii="Times New Roman" w:hAnsi="Times New Roman" w:eastAsia="宋体"/>
                <w:b w:val="0"/>
                <w:sz w:val="19"/>
              </w:rPr>
              <w:t>御准 / 公报 / 生效</w:t>
            </w:r>
          </w:p>
        </w:tc>
        <w:tc>
          <w:tcPr>
            <w:tcW w:type="dxa" w:w="7087"/>
          </w:tcPr>
          <w:p>
            <w:r/>
            <w:r>
              <w:rPr>
                <w:rFonts w:ascii="Times New Roman" w:hAnsi="Times New Roman" w:eastAsia="宋体"/>
                <w:b w:val="0"/>
                <w:sz w:val="19"/>
              </w:rPr>
              <w:t>2009-08-19 御准；2009-09-03 公报；2009-11-25 生效〔P.U.(B) 533/2009〕</w:t>
            </w:r>
          </w:p>
        </w:tc>
      </w:tr>
      <w:tr>
        <w:tc>
          <w:tcPr>
            <w:tcW w:type="dxa" w:w="2551"/>
          </w:tcPr>
          <w:p>
            <w:r/>
            <w:r>
              <w:rPr>
                <w:rFonts w:ascii="Times New Roman" w:hAnsi="Times New Roman" w:eastAsia="宋体"/>
                <w:b w:val="0"/>
                <w:sz w:val="19"/>
              </w:rPr>
              <w:t>本次采集版本</w:t>
            </w:r>
          </w:p>
        </w:tc>
        <w:tc>
          <w:tcPr>
            <w:tcW w:type="dxa" w:w="7087"/>
          </w:tcPr>
          <w:p>
            <w:r/>
            <w:r>
              <w:rPr>
                <w:rFonts w:ascii="Times New Roman" w:hAnsi="Times New Roman" w:eastAsia="宋体"/>
                <w:b w:val="0"/>
                <w:sz w:val="19"/>
              </w:rPr>
              <w:t>AGC 在线合订重印本“As at 1 November 2020”，已纳入 Act A1448(2013)、Act A1616(2020) 修订</w:t>
            </w:r>
          </w:p>
        </w:tc>
      </w:tr>
      <w:tr>
        <w:tc>
          <w:tcPr>
            <w:tcW w:type="dxa" w:w="2551"/>
          </w:tcPr>
          <w:p>
            <w:r/>
            <w:r>
              <w:rPr>
                <w:rFonts w:ascii="Times New Roman" w:hAnsi="Times New Roman" w:eastAsia="宋体"/>
                <w:b w:val="0"/>
                <w:sz w:val="19"/>
              </w:rPr>
              <w:t>三条所在位置</w:t>
            </w:r>
          </w:p>
        </w:tc>
        <w:tc>
          <w:tcPr>
            <w:tcW w:type="dxa" w:w="7087"/>
          </w:tcPr>
          <w:p>
            <w:r/>
            <w:r>
              <w:rPr>
                <w:rFonts w:ascii="Times New Roman" w:hAnsi="Times New Roman" w:eastAsia="宋体"/>
                <w:b w:val="0"/>
                <w:sz w:val="19"/>
              </w:rPr>
              <w:t>Part VII “Islamic Financial Business 伊斯兰金融业务” → Chapter 1 “Shariah Advisory Council 沙里亚咨询理事会”（第51–58条），PDF 第63–64页</w:t>
            </w:r>
          </w:p>
        </w:tc>
      </w:tr>
      <w:tr>
        <w:tc>
          <w:tcPr>
            <w:tcW w:type="dxa" w:w="2551"/>
          </w:tcPr>
          <w:p>
            <w:r/>
            <w:r>
              <w:rPr>
                <w:rFonts w:ascii="Times New Roman" w:hAnsi="Times New Roman" w:eastAsia="宋体"/>
                <w:b w:val="0"/>
                <w:sz w:val="19"/>
              </w:rPr>
              <w:t>官方文本语言</w:t>
            </w:r>
          </w:p>
        </w:tc>
        <w:tc>
          <w:tcPr>
            <w:tcW w:type="dxa" w:w="7087"/>
          </w:tcPr>
          <w:p>
            <w:r/>
            <w:r>
              <w:rPr>
                <w:rFonts w:ascii="Times New Roman" w:hAnsi="Times New Roman" w:eastAsia="宋体"/>
                <w:b w:val="0"/>
                <w:sz w:val="19"/>
              </w:rPr>
              <w:t>英文（Laws of Malaysia, Act 701）；另有马来文国家语文本</w:t>
            </w:r>
          </w:p>
        </w:tc>
      </w:tr>
    </w:tbl>
    <w:p>
      <w:r>
        <w:rPr>
          <w:rFonts w:ascii="Times New Roman" w:hAnsi="Times New Roman" w:eastAsia="黑体"/>
          <w:b/>
          <w:color w:val="1F3A5F"/>
          <w:sz w:val="30"/>
        </w:rPr>
        <w:t>三、官方 PDF 与官方 URL</w:t>
      </w:r>
    </w:p>
    <w:tbl>
      <w:tblPr>
        <w:tblStyle w:val="TableGrid"/>
        <w:tblW w:type="auto" w:w="0"/>
        <w:jc w:val="center"/>
        <w:tblLook w:firstColumn="1" w:firstRow="1" w:lastColumn="0" w:lastRow="0" w:noHBand="0" w:noVBand="1" w:val="04A0"/>
      </w:tblPr>
      <w:tblGrid>
        <w:gridCol w:w="2880"/>
        <w:gridCol w:w="2880"/>
        <w:gridCol w:w="2880"/>
      </w:tblGrid>
      <w:tr>
        <w:tc>
          <w:tcPr>
            <w:tcW w:type="dxa" w:w="2608"/>
            <w:shd w:val="clear" w:fill="1F3A5F"/>
          </w:tcPr>
          <w:p>
            <w:r/>
            <w:r>
              <w:rPr>
                <w:rFonts w:ascii="Times New Roman" w:hAnsi="Times New Roman" w:eastAsia="黑体"/>
                <w:b/>
                <w:color w:val="FFFFFF"/>
                <w:sz w:val="19"/>
              </w:rPr>
              <w:t>本地文件</w:t>
            </w:r>
          </w:p>
        </w:tc>
        <w:tc>
          <w:tcPr>
            <w:tcW w:type="dxa" w:w="2494"/>
            <w:shd w:val="clear" w:fill="1F3A5F"/>
          </w:tcPr>
          <w:p>
            <w:r/>
            <w:r>
              <w:rPr>
                <w:rFonts w:ascii="Times New Roman" w:hAnsi="Times New Roman" w:eastAsia="黑体"/>
                <w:b/>
                <w:color w:val="FFFFFF"/>
                <w:sz w:val="19"/>
              </w:rPr>
              <w:t>版本 / 页数</w:t>
            </w:r>
          </w:p>
        </w:tc>
        <w:tc>
          <w:tcPr>
            <w:tcW w:type="dxa" w:w="4535"/>
            <w:shd w:val="clear" w:fill="1F3A5F"/>
          </w:tcPr>
          <w:p>
            <w:r/>
            <w:r>
              <w:rPr>
                <w:rFonts w:ascii="Times New Roman" w:hAnsi="Times New Roman" w:eastAsia="黑体"/>
                <w:b/>
                <w:color w:val="FFFFFF"/>
                <w:sz w:val="19"/>
              </w:rPr>
              <w:t>官方 URL（AGC 联邦法律官网）</w:t>
            </w:r>
          </w:p>
        </w:tc>
      </w:tr>
      <w:tr>
        <w:tc>
          <w:tcPr>
            <w:tcW w:type="dxa" w:w="2608"/>
          </w:tcPr>
          <w:p>
            <w:r/>
            <w:r>
              <w:rPr>
                <w:rFonts w:ascii="Times New Roman" w:hAnsi="Times New Roman" w:eastAsia="宋体"/>
                <w:b w:val="0"/>
                <w:sz w:val="19"/>
              </w:rPr>
              <w:t>CBA2009_Act701_AGC.pdf</w:t>
            </w:r>
          </w:p>
        </w:tc>
        <w:tc>
          <w:tcPr>
            <w:tcW w:type="dxa" w:w="2494"/>
          </w:tcPr>
          <w:p>
            <w:r/>
            <w:r>
              <w:rPr>
                <w:rFonts w:ascii="Times New Roman" w:hAnsi="Times New Roman" w:eastAsia="宋体"/>
                <w:b w:val="0"/>
                <w:sz w:val="19"/>
              </w:rPr>
              <w:t>英文合订本 As at 1 Nov 2020，112页（本次主用）</w:t>
            </w:r>
          </w:p>
        </w:tc>
        <w:tc>
          <w:tcPr>
            <w:tcW w:type="dxa" w:w="4535"/>
          </w:tcPr>
          <w:p>
            <w:r/>
            <w:r>
              <w:rPr>
                <w:rFonts w:ascii="Times New Roman" w:hAnsi="Times New Roman" w:eastAsia="宋体"/>
                <w:b w:val="0"/>
                <w:sz w:val="19"/>
              </w:rPr>
              <w:t>https://lom.agc.gov.my/ilims/upload/portal/akta/outputaktap/1683920_BI/Draf%20Kedua%20Act%20701%20(final)(KU)%20(1).pdf</w:t>
            </w:r>
          </w:p>
        </w:tc>
      </w:tr>
    </w:tbl>
    <w:p>
      <w:pPr>
        <w:spacing w:after="40"/>
      </w:pPr>
      <w:r>
        <w:rPr>
          <w:rFonts w:ascii="Times New Roman" w:hAnsi="Times New Roman" w:eastAsia="宋体"/>
          <w:b/>
          <w:i w:val="0"/>
          <w:sz w:val="21"/>
        </w:rPr>
        <w:t>其他官方页面 URL（交叉核对用）：</w:t>
      </w:r>
    </w:p>
    <w:p>
      <w:pPr>
        <w:pStyle w:val="ListBullet"/>
      </w:pPr>
      <w:r>
        <w:rPr>
          <w:rFonts w:ascii="Times New Roman" w:hAnsi="Times New Roman" w:eastAsia="宋体"/>
          <w:b w:val="0"/>
          <w:sz w:val="21"/>
        </w:rPr>
        <w:t>AGC 联邦法律官网首页：https://lom.agc.gov.my/</w:t>
      </w:r>
    </w:p>
    <w:p>
      <w:pPr>
        <w:pStyle w:val="ListBullet"/>
      </w:pPr>
      <w:r>
        <w:rPr>
          <w:rFonts w:ascii="Times New Roman" w:hAnsi="Times New Roman" w:eastAsia="宋体"/>
          <w:b w:val="0"/>
          <w:sz w:val="21"/>
        </w:rPr>
        <w:t>BNM 立法专页（列有 CBA 2009 版本与生效信息）：https://www.bnm.gov.my/en/legislation</w:t>
      </w:r>
    </w:p>
    <w:p>
      <w:pPr>
        <w:pStyle w:val="ListBullet"/>
      </w:pPr>
      <w:r>
        <w:rPr>
          <w:rFonts w:ascii="Times New Roman" w:hAnsi="Times New Roman" w:eastAsia="宋体"/>
          <w:b w:val="0"/>
          <w:sz w:val="21"/>
        </w:rPr>
        <w:t>BNM 沙里亚咨询理事会（SAC）介绍页：https://www.bnm.gov.my/committees/sac</w:t>
      </w:r>
    </w:p>
    <w:p>
      <w:pPr>
        <w:spacing w:after="80"/>
      </w:pPr>
      <w:r>
        <w:rPr>
          <w:rFonts w:ascii="Times New Roman" w:hAnsi="Times New Roman" w:eastAsia="宋体"/>
          <w:b w:val="0"/>
          <w:i/>
          <w:color w:val="666666"/>
          <w:sz w:val="18"/>
        </w:rPr>
        <w:t>说明：本次检索环境直连 bnm.gov.my 下载文件时连接被重置，故官方 PDF 采用 AGC 联邦法律官网版本（即用户指定的“马来西亚联邦法律官网”，同为官方权威来源），BNM 页面内容已在线核读。</w:t>
      </w:r>
    </w:p>
    <w:p>
      <w:r>
        <w:rPr>
          <w:rFonts w:ascii="Times New Roman" w:hAnsi="Times New Roman" w:eastAsia="黑体"/>
          <w:b/>
          <w:color w:val="1F3A5F"/>
          <w:sz w:val="30"/>
        </w:rPr>
        <w:t>四、三条在法律中的位置（Part VII 第一章 第51–58条全貌）</w:t>
      </w:r>
    </w:p>
    <w:tbl>
      <w:tblPr>
        <w:tblStyle w:val="TableGrid"/>
        <w:tblW w:type="auto" w:w="0"/>
        <w:jc w:val="center"/>
        <w:tblLook w:firstColumn="1" w:firstRow="1" w:lastColumn="0" w:lastRow="0" w:noHBand="0" w:noVBand="1" w:val="04A0"/>
      </w:tblPr>
      <w:tblGrid>
        <w:gridCol w:w="2880"/>
        <w:gridCol w:w="2880"/>
        <w:gridCol w:w="2880"/>
      </w:tblGrid>
      <w:tr>
        <w:tc>
          <w:tcPr>
            <w:tcW w:type="dxa" w:w="1020"/>
            <w:shd w:val="clear" w:fill="1F3A5F"/>
          </w:tcPr>
          <w:p>
            <w:r/>
            <w:r>
              <w:rPr>
                <w:rFonts w:ascii="Times New Roman" w:hAnsi="Times New Roman" w:eastAsia="黑体"/>
                <w:b/>
                <w:color w:val="FFFFFF"/>
                <w:sz w:val="19"/>
              </w:rPr>
              <w:t>条款</w:t>
            </w:r>
          </w:p>
        </w:tc>
        <w:tc>
          <w:tcPr>
            <w:tcW w:type="dxa" w:w="4649"/>
            <w:shd w:val="clear" w:fill="1F3A5F"/>
          </w:tcPr>
          <w:p>
            <w:r/>
            <w:r>
              <w:rPr>
                <w:rFonts w:ascii="Times New Roman" w:hAnsi="Times New Roman" w:eastAsia="黑体"/>
                <w:b/>
                <w:color w:val="FFFFFF"/>
                <w:sz w:val="19"/>
              </w:rPr>
              <w:t>标题</w:t>
            </w:r>
          </w:p>
        </w:tc>
        <w:tc>
          <w:tcPr>
            <w:tcW w:type="dxa" w:w="3969"/>
            <w:shd w:val="clear" w:fill="1F3A5F"/>
          </w:tcPr>
          <w:p>
            <w:r/>
            <w:r>
              <w:rPr>
                <w:rFonts w:ascii="Times New Roman" w:hAnsi="Times New Roman" w:eastAsia="黑体"/>
                <w:b/>
                <w:color w:val="FFFFFF"/>
                <w:sz w:val="19"/>
              </w:rPr>
              <w:t>作用</w:t>
            </w:r>
          </w:p>
        </w:tc>
      </w:tr>
      <w:tr>
        <w:tc>
          <w:tcPr>
            <w:tcW w:type="dxa" w:w="1020"/>
          </w:tcPr>
          <w:p>
            <w:r/>
            <w:r>
              <w:rPr>
                <w:rFonts w:ascii="Times New Roman" w:hAnsi="Times New Roman" w:eastAsia="宋体"/>
                <w:b w:val="0"/>
                <w:sz w:val="19"/>
              </w:rPr>
              <w:t>s.51</w:t>
            </w:r>
          </w:p>
        </w:tc>
        <w:tc>
          <w:tcPr>
            <w:tcW w:type="dxa" w:w="4649"/>
          </w:tcPr>
          <w:p>
            <w:r/>
            <w:r>
              <w:rPr>
                <w:rFonts w:ascii="Times New Roman" w:hAnsi="Times New Roman" w:eastAsia="宋体"/>
                <w:b w:val="0"/>
                <w:sz w:val="19"/>
              </w:rPr>
              <w:t>Establishment of Shariah Advisory Council</w:t>
            </w:r>
          </w:p>
        </w:tc>
        <w:tc>
          <w:tcPr>
            <w:tcW w:type="dxa" w:w="3969"/>
          </w:tcPr>
          <w:p>
            <w:r/>
            <w:r>
              <w:rPr>
                <w:rFonts w:ascii="Times New Roman" w:hAnsi="Times New Roman" w:eastAsia="宋体"/>
                <w:b w:val="0"/>
                <w:sz w:val="19"/>
              </w:rPr>
              <w:t>设立 SAC（IFSA 第2条所指的 SAC 即源于此）</w:t>
            </w:r>
          </w:p>
        </w:tc>
      </w:tr>
      <w:tr>
        <w:tc>
          <w:tcPr>
            <w:tcW w:type="dxa" w:w="1020"/>
          </w:tcPr>
          <w:p>
            <w:r/>
            <w:r>
              <w:rPr>
                <w:rFonts w:ascii="Times New Roman" w:hAnsi="Times New Roman" w:eastAsia="宋体"/>
                <w:b w:val="0"/>
                <w:sz w:val="19"/>
              </w:rPr>
              <w:t>s.52</w:t>
            </w:r>
          </w:p>
        </w:tc>
        <w:tc>
          <w:tcPr>
            <w:tcW w:type="dxa" w:w="4649"/>
          </w:tcPr>
          <w:p>
            <w:r/>
            <w:r>
              <w:rPr>
                <w:rFonts w:ascii="Times New Roman" w:hAnsi="Times New Roman" w:eastAsia="宋体"/>
                <w:b w:val="0"/>
                <w:sz w:val="19"/>
              </w:rPr>
              <w:t>Functions of SAC</w:t>
            </w:r>
          </w:p>
        </w:tc>
        <w:tc>
          <w:tcPr>
            <w:tcW w:type="dxa" w:w="3969"/>
          </w:tcPr>
          <w:p>
            <w:r/>
            <w:r>
              <w:rPr>
                <w:rFonts w:ascii="Times New Roman" w:hAnsi="Times New Roman" w:eastAsia="宋体"/>
                <w:b w:val="0"/>
                <w:sz w:val="19"/>
              </w:rPr>
              <w:t>SAC 职能</w:t>
            </w:r>
          </w:p>
        </w:tc>
      </w:tr>
      <w:tr>
        <w:tc>
          <w:tcPr>
            <w:tcW w:type="dxa" w:w="1020"/>
          </w:tcPr>
          <w:p>
            <w:r/>
            <w:r>
              <w:rPr>
                <w:rFonts w:ascii="Times New Roman" w:hAnsi="Times New Roman" w:eastAsia="宋体"/>
                <w:b w:val="0"/>
                <w:sz w:val="19"/>
              </w:rPr>
              <w:t>s.53</w:t>
            </w:r>
          </w:p>
        </w:tc>
        <w:tc>
          <w:tcPr>
            <w:tcW w:type="dxa" w:w="4649"/>
          </w:tcPr>
          <w:p>
            <w:r/>
            <w:r>
              <w:rPr>
                <w:rFonts w:ascii="Times New Roman" w:hAnsi="Times New Roman" w:eastAsia="宋体"/>
                <w:b w:val="0"/>
                <w:sz w:val="19"/>
              </w:rPr>
              <w:t>Appointment of members</w:t>
            </w:r>
          </w:p>
        </w:tc>
        <w:tc>
          <w:tcPr>
            <w:tcW w:type="dxa" w:w="3969"/>
          </w:tcPr>
          <w:p>
            <w:r/>
            <w:r>
              <w:rPr>
                <w:rFonts w:ascii="Times New Roman" w:hAnsi="Times New Roman" w:eastAsia="宋体"/>
                <w:b w:val="0"/>
                <w:sz w:val="19"/>
              </w:rPr>
              <w:t>SAC 成员任命（由最高元首任命）</w:t>
            </w:r>
          </w:p>
        </w:tc>
      </w:tr>
      <w:tr>
        <w:tc>
          <w:tcPr>
            <w:tcW w:type="dxa" w:w="1020"/>
          </w:tcPr>
          <w:p>
            <w:r/>
            <w:r>
              <w:rPr>
                <w:rFonts w:ascii="Times New Roman" w:hAnsi="Times New Roman" w:eastAsia="宋体"/>
                <w:b w:val="0"/>
                <w:sz w:val="19"/>
              </w:rPr>
              <w:t>s.54</w:t>
            </w:r>
          </w:p>
        </w:tc>
        <w:tc>
          <w:tcPr>
            <w:tcW w:type="dxa" w:w="4649"/>
          </w:tcPr>
          <w:p>
            <w:r/>
            <w:r>
              <w:rPr>
                <w:rFonts w:ascii="Times New Roman" w:hAnsi="Times New Roman" w:eastAsia="宋体"/>
                <w:b w:val="0"/>
                <w:sz w:val="19"/>
              </w:rPr>
              <w:t>Secretariat</w:t>
            </w:r>
          </w:p>
        </w:tc>
        <w:tc>
          <w:tcPr>
            <w:tcW w:type="dxa" w:w="3969"/>
          </w:tcPr>
          <w:p>
            <w:r/>
            <w:r>
              <w:rPr>
                <w:rFonts w:ascii="Times New Roman" w:hAnsi="Times New Roman" w:eastAsia="宋体"/>
                <w:b w:val="0"/>
                <w:sz w:val="19"/>
              </w:rPr>
              <w:t>SAC 秘书处</w:t>
            </w:r>
          </w:p>
        </w:tc>
      </w:tr>
      <w:tr>
        <w:tc>
          <w:tcPr>
            <w:tcW w:type="dxa" w:w="1020"/>
          </w:tcPr>
          <w:p>
            <w:r/>
            <w:r>
              <w:rPr>
                <w:rFonts w:ascii="Times New Roman" w:hAnsi="Times New Roman" w:eastAsia="宋体"/>
                <w:b w:val="0"/>
                <w:sz w:val="19"/>
              </w:rPr>
              <w:t>s.55</w:t>
            </w:r>
          </w:p>
        </w:tc>
        <w:tc>
          <w:tcPr>
            <w:tcW w:type="dxa" w:w="4649"/>
          </w:tcPr>
          <w:p>
            <w:r/>
            <w:r>
              <w:rPr>
                <w:rFonts w:ascii="Times New Roman" w:hAnsi="Times New Roman" w:eastAsia="宋体"/>
                <w:b w:val="0"/>
                <w:sz w:val="19"/>
              </w:rPr>
              <w:t>The Bank and IFIs to consult SAC</w:t>
            </w:r>
          </w:p>
        </w:tc>
        <w:tc>
          <w:tcPr>
            <w:tcW w:type="dxa" w:w="3969"/>
          </w:tcPr>
          <w:p>
            <w:r/>
            <w:r>
              <w:rPr>
                <w:rFonts w:ascii="Times New Roman" w:hAnsi="Times New Roman" w:eastAsia="宋体"/>
                <w:b w:val="0"/>
                <w:sz w:val="19"/>
              </w:rPr>
              <w:t>BNM 与伊斯兰金融机构应就沙里亚问题征询 SAC</w:t>
            </w:r>
          </w:p>
        </w:tc>
      </w:tr>
      <w:tr>
        <w:tc>
          <w:tcPr>
            <w:tcW w:type="dxa" w:w="1020"/>
          </w:tcPr>
          <w:p>
            <w:r/>
            <w:r>
              <w:rPr>
                <w:rFonts w:ascii="Times New Roman" w:hAnsi="Times New Roman" w:eastAsia="宋体"/>
                <w:b w:val="0"/>
                <w:sz w:val="19"/>
              </w:rPr>
              <w:t>s.56 ★</w:t>
            </w:r>
          </w:p>
        </w:tc>
        <w:tc>
          <w:tcPr>
            <w:tcW w:type="dxa" w:w="4649"/>
          </w:tcPr>
          <w:p>
            <w:r/>
            <w:r>
              <w:rPr>
                <w:rFonts w:ascii="Times New Roman" w:hAnsi="Times New Roman" w:eastAsia="宋体"/>
                <w:b w:val="0"/>
                <w:sz w:val="19"/>
              </w:rPr>
              <w:t>Reference to SAC for ruling from court or arbitrator</w:t>
            </w:r>
          </w:p>
        </w:tc>
        <w:tc>
          <w:tcPr>
            <w:tcW w:type="dxa" w:w="3969"/>
          </w:tcPr>
          <w:p>
            <w:r/>
            <w:r>
              <w:rPr>
                <w:rFonts w:ascii="Times New Roman" w:hAnsi="Times New Roman" w:eastAsia="宋体"/>
                <w:b w:val="0"/>
                <w:sz w:val="19"/>
              </w:rPr>
              <w:t>法院/仲裁员就沙里亚问题考虑或提交 SAC</w:t>
            </w:r>
          </w:p>
        </w:tc>
      </w:tr>
      <w:tr>
        <w:tc>
          <w:tcPr>
            <w:tcW w:type="dxa" w:w="1020"/>
          </w:tcPr>
          <w:p>
            <w:r/>
            <w:r>
              <w:rPr>
                <w:rFonts w:ascii="Times New Roman" w:hAnsi="Times New Roman" w:eastAsia="宋体"/>
                <w:b w:val="0"/>
                <w:sz w:val="19"/>
              </w:rPr>
              <w:t>s.57 ★</w:t>
            </w:r>
          </w:p>
        </w:tc>
        <w:tc>
          <w:tcPr>
            <w:tcW w:type="dxa" w:w="4649"/>
          </w:tcPr>
          <w:p>
            <w:r/>
            <w:r>
              <w:rPr>
                <w:rFonts w:ascii="Times New Roman" w:hAnsi="Times New Roman" w:eastAsia="宋体"/>
                <w:b w:val="0"/>
                <w:sz w:val="19"/>
              </w:rPr>
              <w:t>Effect of Shariah rulings</w:t>
            </w:r>
          </w:p>
        </w:tc>
        <w:tc>
          <w:tcPr>
            <w:tcW w:type="dxa" w:w="3969"/>
          </w:tcPr>
          <w:p>
            <w:r/>
            <w:r>
              <w:rPr>
                <w:rFonts w:ascii="Times New Roman" w:hAnsi="Times New Roman" w:eastAsia="宋体"/>
                <w:b w:val="0"/>
                <w:sz w:val="19"/>
              </w:rPr>
              <w:t>SAC 裁决的拘束力</w:t>
            </w:r>
          </w:p>
        </w:tc>
      </w:tr>
      <w:tr>
        <w:tc>
          <w:tcPr>
            <w:tcW w:type="dxa" w:w="1020"/>
          </w:tcPr>
          <w:p>
            <w:r/>
            <w:r>
              <w:rPr>
                <w:rFonts w:ascii="Times New Roman" w:hAnsi="Times New Roman" w:eastAsia="宋体"/>
                <w:b w:val="0"/>
                <w:sz w:val="19"/>
              </w:rPr>
              <w:t>s.58 ★</w:t>
            </w:r>
          </w:p>
        </w:tc>
        <w:tc>
          <w:tcPr>
            <w:tcW w:type="dxa" w:w="4649"/>
          </w:tcPr>
          <w:p>
            <w:r/>
            <w:r>
              <w:rPr>
                <w:rFonts w:ascii="Times New Roman" w:hAnsi="Times New Roman" w:eastAsia="宋体"/>
                <w:b w:val="0"/>
                <w:sz w:val="19"/>
              </w:rPr>
              <w:t>SAC ruling prevails</w:t>
            </w:r>
          </w:p>
        </w:tc>
        <w:tc>
          <w:tcPr>
            <w:tcW w:type="dxa" w:w="3969"/>
          </w:tcPr>
          <w:p>
            <w:r/>
            <w:r>
              <w:rPr>
                <w:rFonts w:ascii="Times New Roman" w:hAnsi="Times New Roman" w:eastAsia="宋体"/>
                <w:b w:val="0"/>
                <w:sz w:val="19"/>
              </w:rPr>
              <w:t>SAC 裁决优先于机构内部沙里亚委员会</w:t>
            </w:r>
          </w:p>
        </w:tc>
      </w:tr>
    </w:tbl>
    <w:p>
      <w:pPr>
        <w:spacing w:after="80"/>
      </w:pPr>
      <w:r>
        <w:rPr>
          <w:rFonts w:ascii="Times New Roman" w:hAnsi="Times New Roman" w:eastAsia="宋体"/>
          <w:b w:val="0"/>
          <w:i/>
          <w:color w:val="666666"/>
          <w:sz w:val="18"/>
        </w:rPr>
        <w:t>（★ 为本次采集的三条。）</w:t>
      </w:r>
    </w:p>
    <w:p>
      <w:r>
        <w:rPr>
          <w:rFonts w:ascii="Times New Roman" w:hAnsi="Times New Roman" w:eastAsia="黑体"/>
          <w:b/>
          <w:color w:val="1F3A5F"/>
          <w:sz w:val="30"/>
        </w:rPr>
        <w:t>五、第 56 / 57 / 58 条原文与中文释义（核心）</w:t>
      </w:r>
    </w:p>
    <w:p>
      <w:pPr>
        <w:spacing w:after="120"/>
      </w:pPr>
      <w:r>
        <w:rPr>
          <w:rFonts w:ascii="Times New Roman" w:hAnsi="Times New Roman" w:eastAsia="宋体"/>
          <w:b w:val="0"/>
          <w:i/>
          <w:color w:val="666666"/>
          <w:sz w:val="18"/>
        </w:rPr>
        <w:t>英文原文逐字摘自 AGC 官方 PDF（第63–64页）；中文为便于理解的白话译文，正式采集/引用以英文原文为准。</w:t>
      </w:r>
    </w:p>
    <w:p>
      <w:r>
        <w:rPr>
          <w:rFonts w:ascii="Times New Roman" w:hAnsi="Times New Roman" w:eastAsia="黑体"/>
          <w:b/>
          <w:color w:val="1F3A5F"/>
          <w:sz w:val="22"/>
        </w:rPr>
        <w:t>第 56 条 Section 56　Reference to Shariah Advisory Council for ruling from court or arbitrator（法院/仲裁员就沙里亚问题向 SAC 求证）</w:t>
      </w:r>
    </w:p>
    <w:p>
      <w:pPr>
        <w:spacing w:after="40"/>
      </w:pPr>
      <w:r>
        <w:rPr>
          <w:rFonts w:ascii="Times New Roman" w:hAnsi="Times New Roman" w:eastAsia="宋体"/>
          <w:b/>
          <w:i w:val="0"/>
          <w:color w:val="1F3A5F"/>
          <w:sz w:val="19"/>
        </w:rPr>
        <w:t>位置：官方PDF 第63页（Part VII, Chapter 1）</w:t>
      </w:r>
    </w:p>
    <w:p>
      <w:pPr>
        <w:spacing w:after="20"/>
      </w:pPr>
      <w:r>
        <w:rPr>
          <w:rFonts w:ascii="Times New Roman" w:hAnsi="Times New Roman" w:eastAsia="宋体"/>
          <w:b/>
          <w:i w:val="0"/>
          <w:sz w:val="19"/>
        </w:rPr>
        <w:t>英文原文（逐字）：</w:t>
      </w:r>
    </w:p>
    <w:p>
      <w:pPr>
        <w:spacing w:after="60"/>
        <w:ind w:left="454"/>
      </w:pPr>
      <w:r>
        <w:rPr>
          <w:rFonts w:ascii="Times New Roman" w:hAnsi="Times New Roman" w:eastAsia="宋体"/>
          <w:b w:val="0"/>
          <w:i/>
          <w:color w:val="333333"/>
          <w:sz w:val="19"/>
        </w:rPr>
        <w:t>56. (1) Where in any proceedings relating to Islamic financial business before any court or arbitrator any question arises concerning a Shariah matter, the court or the arbitrator, as the case may be, shall—</w:t>
      </w:r>
    </w:p>
    <w:p>
      <w:pPr>
        <w:spacing w:after="60"/>
        <w:ind w:left="454"/>
      </w:pPr>
      <w:r>
        <w:rPr>
          <w:rFonts w:ascii="Times New Roman" w:hAnsi="Times New Roman" w:eastAsia="宋体"/>
          <w:b w:val="0"/>
          <w:i/>
          <w:color w:val="333333"/>
          <w:sz w:val="19"/>
        </w:rPr>
        <w:t>(a) take into consideration any published rulings of the Shariah Advisory Council; or</w:t>
      </w:r>
    </w:p>
    <w:p>
      <w:pPr>
        <w:spacing w:after="60"/>
        <w:ind w:left="454"/>
      </w:pPr>
      <w:r>
        <w:rPr>
          <w:rFonts w:ascii="Times New Roman" w:hAnsi="Times New Roman" w:eastAsia="宋体"/>
          <w:b w:val="0"/>
          <w:i/>
          <w:color w:val="333333"/>
          <w:sz w:val="19"/>
        </w:rPr>
        <w:t>(b) refer such question to the Shariah Advisory Council for its ruling.</w:t>
      </w:r>
    </w:p>
    <w:p>
      <w:pPr>
        <w:spacing w:after="60"/>
        <w:ind w:left="454"/>
      </w:pPr>
      <w:r>
        <w:rPr>
          <w:rFonts w:ascii="Times New Roman" w:hAnsi="Times New Roman" w:eastAsia="宋体"/>
          <w:b w:val="0"/>
          <w:i/>
          <w:color w:val="333333"/>
          <w:sz w:val="19"/>
        </w:rPr>
        <w:t>(2) Any request for advice or a ruling of the Shariah Advisory Council under this Act or any other law shall be submitted to the secretariat.</w:t>
      </w:r>
    </w:p>
    <w:p>
      <w:pPr>
        <w:spacing w:after="20"/>
      </w:pPr>
      <w:r>
        <w:rPr>
          <w:rFonts w:ascii="Times New Roman" w:hAnsi="Times New Roman" w:eastAsia="宋体"/>
          <w:b/>
          <w:i w:val="0"/>
          <w:sz w:val="19"/>
        </w:rPr>
        <w:t>中文白话译文：</w:t>
      </w:r>
    </w:p>
    <w:p>
      <w:pPr>
        <w:spacing w:after="20"/>
        <w:ind w:left="340"/>
      </w:pPr>
      <w:r>
        <w:rPr>
          <w:rFonts w:ascii="Times New Roman" w:hAnsi="Times New Roman" w:eastAsia="宋体"/>
          <w:b w:val="0"/>
          <w:i w:val="0"/>
          <w:sz w:val="19"/>
        </w:rPr>
        <w:t>(1) 在法院或仲裁员审理的、与伊斯兰金融业务有关的任何程序中，一旦出现涉及“沙里亚事项”的问题，法院或仲裁员（视具体情况）应当——</w:t>
      </w:r>
    </w:p>
    <w:p>
      <w:pPr>
        <w:spacing w:after="20"/>
        <w:ind w:left="340"/>
      </w:pPr>
      <w:r>
        <w:rPr>
          <w:rFonts w:ascii="Times New Roman" w:hAnsi="Times New Roman" w:eastAsia="宋体"/>
          <w:b w:val="0"/>
          <w:i w:val="0"/>
          <w:sz w:val="19"/>
        </w:rPr>
        <w:t>(a) 考虑（take into consideration）SAC 已经公布的裁决；或</w:t>
      </w:r>
    </w:p>
    <w:p>
      <w:pPr>
        <w:spacing w:after="20"/>
        <w:ind w:left="340"/>
      </w:pPr>
      <w:r>
        <w:rPr>
          <w:rFonts w:ascii="Times New Roman" w:hAnsi="Times New Roman" w:eastAsia="宋体"/>
          <w:b w:val="0"/>
          <w:i w:val="0"/>
          <w:sz w:val="19"/>
        </w:rPr>
        <w:t>(b) 将该问题提交（refer）SAC，由 SAC 作出裁决。</w:t>
      </w:r>
    </w:p>
    <w:p>
      <w:pPr>
        <w:spacing w:after="20"/>
        <w:ind w:left="340"/>
      </w:pPr>
      <w:r>
        <w:rPr>
          <w:rFonts w:ascii="Times New Roman" w:hAnsi="Times New Roman" w:eastAsia="宋体"/>
          <w:b w:val="0"/>
          <w:i w:val="0"/>
          <w:sz w:val="19"/>
        </w:rPr>
        <w:t>(2) 依本法或任何其他法律，向 SAC 请求意见或裁决的，应向其秘书处提出。</w:t>
      </w:r>
    </w:p>
    <w:p>
      <w:pPr>
        <w:spacing w:after="160"/>
        <w:ind w:left="340"/>
      </w:pPr>
      <w:r>
        <w:rPr>
          <w:rFonts w:ascii="Times New Roman" w:hAnsi="Times New Roman" w:eastAsia="宋体"/>
          <w:b/>
          <w:color w:val="993300"/>
          <w:sz w:val="19"/>
        </w:rPr>
        <w:t>要点：</w:t>
      </w:r>
      <w:r>
        <w:rPr>
          <w:rFonts w:ascii="Times New Roman" w:hAnsi="Times New Roman" w:eastAsia="宋体"/>
          <w:b w:val="0"/>
          <w:color w:val="993300"/>
          <w:sz w:val="19"/>
        </w:rPr>
        <w:t>这是一条强制性义务（用“shall 应当”）：司法/仲裁程序中遇到沙里亚问题，不能自己拍板，必须考虑 SAC 已公布裁决或直接提交 SAC。</w:t>
      </w:r>
    </w:p>
    <w:p>
      <w:r>
        <w:rPr>
          <w:rFonts w:ascii="Times New Roman" w:hAnsi="Times New Roman" w:eastAsia="黑体"/>
          <w:b/>
          <w:color w:val="1F3A5F"/>
          <w:sz w:val="22"/>
        </w:rPr>
        <w:t>第 57 条 Section 57　Effect of Shariah rulings（SAC 裁决的法律效力（拘束力））</w:t>
      </w:r>
    </w:p>
    <w:p>
      <w:pPr>
        <w:spacing w:after="40"/>
      </w:pPr>
      <w:r>
        <w:rPr>
          <w:rFonts w:ascii="Times New Roman" w:hAnsi="Times New Roman" w:eastAsia="宋体"/>
          <w:b/>
          <w:i w:val="0"/>
          <w:color w:val="1F3A5F"/>
          <w:sz w:val="19"/>
        </w:rPr>
        <w:t>位置：官方PDF 第63页</w:t>
      </w:r>
    </w:p>
    <w:p>
      <w:pPr>
        <w:spacing w:after="20"/>
      </w:pPr>
      <w:r>
        <w:rPr>
          <w:rFonts w:ascii="Times New Roman" w:hAnsi="Times New Roman" w:eastAsia="宋体"/>
          <w:b/>
          <w:i w:val="0"/>
          <w:sz w:val="19"/>
        </w:rPr>
        <w:t>英文原文（逐字）：</w:t>
      </w:r>
    </w:p>
    <w:p>
      <w:pPr>
        <w:spacing w:after="60"/>
        <w:ind w:left="454"/>
      </w:pPr>
      <w:r>
        <w:rPr>
          <w:rFonts w:ascii="Times New Roman" w:hAnsi="Times New Roman" w:eastAsia="宋体"/>
          <w:b w:val="0"/>
          <w:i/>
          <w:color w:val="333333"/>
          <w:sz w:val="19"/>
        </w:rPr>
        <w:t>57. Any ruling made by the Shariah Advisory Council pursuant to a reference made under this Part shall be binding on the Islamic financial institutions under section 55 and the court or arbitrator making a reference under section 56.</w:t>
      </w:r>
    </w:p>
    <w:p>
      <w:pPr>
        <w:spacing w:after="20"/>
      </w:pPr>
      <w:r>
        <w:rPr>
          <w:rFonts w:ascii="Times New Roman" w:hAnsi="Times New Roman" w:eastAsia="宋体"/>
          <w:b/>
          <w:i w:val="0"/>
          <w:sz w:val="19"/>
        </w:rPr>
        <w:t>中文白话译文：</w:t>
      </w:r>
    </w:p>
    <w:p>
      <w:pPr>
        <w:spacing w:after="20"/>
        <w:ind w:left="340"/>
      </w:pPr>
      <w:r>
        <w:rPr>
          <w:rFonts w:ascii="Times New Roman" w:hAnsi="Times New Roman" w:eastAsia="宋体"/>
          <w:b w:val="0"/>
          <w:i w:val="0"/>
          <w:sz w:val="19"/>
        </w:rPr>
        <w:t>SAC 依据本编（Part VII）经提交而作出的任何裁决，对以下对象具有拘束力（shall be binding）：第55条项下的伊斯兰金融机构；以及依据第56条提交问题的法院或仲裁员。</w:t>
      </w:r>
    </w:p>
    <w:p>
      <w:pPr>
        <w:spacing w:after="160"/>
        <w:ind w:left="340"/>
      </w:pPr>
      <w:r>
        <w:rPr>
          <w:rFonts w:ascii="Times New Roman" w:hAnsi="Times New Roman" w:eastAsia="宋体"/>
          <w:b/>
          <w:color w:val="993300"/>
          <w:sz w:val="19"/>
        </w:rPr>
        <w:t>要点：</w:t>
      </w:r>
      <w:r>
        <w:rPr>
          <w:rFonts w:ascii="Times New Roman" w:hAnsi="Times New Roman" w:eastAsia="宋体"/>
          <w:b w:val="0"/>
          <w:color w:val="993300"/>
          <w:sz w:val="19"/>
        </w:rPr>
        <w:t>SAC 裁决不是“仅供参考”，而是有法律拘束力：伊斯兰金融机构必须遵守，受理案件并提交问题的法院/仲裁员也必须依此裁判。</w:t>
      </w:r>
    </w:p>
    <w:p>
      <w:r>
        <w:rPr>
          <w:rFonts w:ascii="Times New Roman" w:hAnsi="Times New Roman" w:eastAsia="黑体"/>
          <w:b/>
          <w:color w:val="1F3A5F"/>
          <w:sz w:val="22"/>
        </w:rPr>
        <w:t>第 58 条 Section 58　Shariah Advisory Council ruling prevails（SAC 裁决优先）</w:t>
      </w:r>
    </w:p>
    <w:p>
      <w:pPr>
        <w:spacing w:after="40"/>
      </w:pPr>
      <w:r>
        <w:rPr>
          <w:rFonts w:ascii="Times New Roman" w:hAnsi="Times New Roman" w:eastAsia="宋体"/>
          <w:b/>
          <w:i w:val="0"/>
          <w:color w:val="1F3A5F"/>
          <w:sz w:val="19"/>
        </w:rPr>
        <w:t>位置：官方PDF 第64页</w:t>
      </w:r>
    </w:p>
    <w:p>
      <w:pPr>
        <w:spacing w:after="20"/>
      </w:pPr>
      <w:r>
        <w:rPr>
          <w:rFonts w:ascii="Times New Roman" w:hAnsi="Times New Roman" w:eastAsia="宋体"/>
          <w:b/>
          <w:i w:val="0"/>
          <w:sz w:val="19"/>
        </w:rPr>
        <w:t>英文原文（逐字）：</w:t>
      </w:r>
    </w:p>
    <w:p>
      <w:pPr>
        <w:spacing w:after="60"/>
        <w:ind w:left="454"/>
      </w:pPr>
      <w:r>
        <w:rPr>
          <w:rFonts w:ascii="Times New Roman" w:hAnsi="Times New Roman" w:eastAsia="宋体"/>
          <w:b w:val="0"/>
          <w:i/>
          <w:color w:val="333333"/>
          <w:sz w:val="19"/>
        </w:rPr>
        <w:t>58. Where the ruling given by a Shariah body or committee constituted in Malaysia by an Islamic financial institution is different from the ruling given by the Shariah Advisory Council, the ruling of the Shariah Advisory Council shall prevail.</w:t>
      </w:r>
    </w:p>
    <w:p>
      <w:pPr>
        <w:spacing w:after="20"/>
      </w:pPr>
      <w:r>
        <w:rPr>
          <w:rFonts w:ascii="Times New Roman" w:hAnsi="Times New Roman" w:eastAsia="宋体"/>
          <w:b/>
          <w:i w:val="0"/>
          <w:sz w:val="19"/>
        </w:rPr>
        <w:t>中文白话译文：</w:t>
      </w:r>
    </w:p>
    <w:p>
      <w:pPr>
        <w:spacing w:after="20"/>
        <w:ind w:left="340"/>
      </w:pPr>
      <w:r>
        <w:rPr>
          <w:rFonts w:ascii="Times New Roman" w:hAnsi="Times New Roman" w:eastAsia="宋体"/>
          <w:b w:val="0"/>
          <w:i w:val="0"/>
          <w:sz w:val="19"/>
        </w:rPr>
        <w:t>当某一伊斯兰金融机构在马来西亚境内设立的“沙里亚机构/沙里亚委员会”（即各银行内部的 Shariah committee）所作裁决，与 SAC 的裁决不一致时，以 SAC 的裁决为准（shall prevail）。</w:t>
      </w:r>
    </w:p>
    <w:p>
      <w:pPr>
        <w:spacing w:after="160"/>
        <w:ind w:left="340"/>
      </w:pPr>
      <w:r>
        <w:rPr>
          <w:rFonts w:ascii="Times New Roman" w:hAnsi="Times New Roman" w:eastAsia="宋体"/>
          <w:b/>
          <w:color w:val="993300"/>
          <w:sz w:val="19"/>
        </w:rPr>
        <w:t>要点：</w:t>
      </w:r>
      <w:r>
        <w:rPr>
          <w:rFonts w:ascii="Times New Roman" w:hAnsi="Times New Roman" w:eastAsia="宋体"/>
          <w:b w:val="0"/>
          <w:color w:val="993300"/>
          <w:sz w:val="19"/>
        </w:rPr>
        <w:t>解决“内部沙里亚委员会 vs 国家最高 SAC”意见冲突：SAC 是马来西亚伊斯兰金融的最高沙里亚权威，其裁决效力优先，内部委员会意见不得与之抵触。</w:t>
      </w:r>
    </w:p>
    <w:p>
      <w:r>
        <w:rPr>
          <w:rFonts w:ascii="Times New Roman" w:hAnsi="Times New Roman" w:eastAsia="黑体"/>
          <w:b/>
          <w:color w:val="1F3A5F"/>
          <w:sz w:val="30"/>
        </w:rPr>
        <w:t>六、三条如何咬合，以及与 IFSA 2013 的衔接</w:t>
      </w:r>
    </w:p>
    <w:p>
      <w:pPr>
        <w:pStyle w:val="ListBullet"/>
      </w:pPr>
      <w:r>
        <w:rPr>
          <w:rFonts w:ascii="Times New Roman" w:hAnsi="Times New Roman" w:eastAsia="宋体"/>
          <w:b w:val="0"/>
          <w:sz w:val="21"/>
        </w:rPr>
        <w:t>第56条解决“问题怎么到 SAC”：法院/仲裁必须考虑或提交；</w:t>
      </w:r>
    </w:p>
    <w:p>
      <w:pPr>
        <w:pStyle w:val="ListBullet"/>
      </w:pPr>
      <w:r>
        <w:rPr>
          <w:rFonts w:ascii="Times New Roman" w:hAnsi="Times New Roman" w:eastAsia="宋体"/>
          <w:b w:val="0"/>
          <w:sz w:val="21"/>
        </w:rPr>
        <w:t>第57条解决“SAC 说了算不算”：对机构和法院/仲裁均有拘束力；</w:t>
      </w:r>
    </w:p>
    <w:p>
      <w:pPr>
        <w:pStyle w:val="ListBullet"/>
      </w:pPr>
      <w:r>
        <w:rPr>
          <w:rFonts w:ascii="Times New Roman" w:hAnsi="Times New Roman" w:eastAsia="宋体"/>
          <w:b w:val="0"/>
          <w:sz w:val="21"/>
        </w:rPr>
        <w:t>第58条解决“SAC 与内部委员会谁说了算”：SAC 优先。三条合起来形成“提交→拘束→优先”的完整闭环。</w:t>
      </w:r>
    </w:p>
    <w:p>
      <w:pPr>
        <w:pStyle w:val="ListBullet"/>
      </w:pPr>
      <w:r>
        <w:rPr>
          <w:rFonts w:ascii="Times New Roman" w:hAnsi="Times New Roman" w:eastAsia="宋体"/>
          <w:b w:val="0"/>
          <w:sz w:val="21"/>
        </w:rPr>
        <w:t>与 IFSA 2013 的衔接：IFSA 第28(2)条规定“遵守 SAC 裁决即视为符合沙里亚”，而 SAC 的设立（s.51）、裁决如何被司法采纳（s.56）、裁决的拘束力（s.57）、裁决优先地位（s.58）全部由本部 CBA 2009 提供；IFSA 第2条对“SAC”的法定定义即“依 CBA 2009 第51条设立的沙里亚咨询理事会”。</w:t>
      </w:r>
    </w:p>
    <w:p>
      <w:r>
        <w:rPr>
          <w:rFonts w:ascii="Times New Roman" w:hAnsi="Times New Roman" w:eastAsia="黑体"/>
          <w:b/>
          <w:color w:val="1F3A5F"/>
          <w:sz w:val="30"/>
        </w:rPr>
        <w:t>七、条款现行有效的司法佐证（补充背景，非条文）</w:t>
      </w:r>
    </w:p>
    <w:p>
      <w:pPr>
        <w:spacing w:after="60"/>
      </w:pPr>
      <w:r>
        <w:rPr>
          <w:rFonts w:ascii="Times New Roman" w:hAnsi="Times New Roman" w:eastAsia="宋体"/>
          <w:b w:val="0"/>
          <w:i w:val="0"/>
          <w:sz w:val="21"/>
        </w:rPr>
        <w:t>马来西亚联邦法院在 JRI Resources Sdn Bhd v Kuwait Finance House (Malaysia) Berhad 一案中，于2019年4月10日由9人合议庭以多数（5:4）裁定 CBA 2009 第56、57条合宪、有效：SAC 只负责“认定适用于伊斯兰金融交易的沙里亚法律”，案件的最终裁判权仍在法院，故不构成司法权让渡。这佐证本次采集的第56/57条（及配套的第58条）为现行有效、可执行条款。参考来源（律所/公开法律评论，非官方文本，仅作效力佐证）：</w:t>
      </w:r>
    </w:p>
    <w:p>
      <w:pPr>
        <w:pStyle w:val="ListBullet"/>
      </w:pPr>
      <w:r>
        <w:rPr>
          <w:rFonts w:ascii="Times New Roman" w:hAnsi="Times New Roman" w:eastAsia="宋体"/>
          <w:b w:val="0"/>
          <w:sz w:val="21"/>
        </w:rPr>
        <w:t>Shook Lin &amp; Bok 中文法律评论：https://shooklin.com.my/cn/legal-updates/2009年中央银行法令第56和57条裁定符合马来西亚联邦宪/</w:t>
      </w:r>
    </w:p>
    <w:p>
      <w:r>
        <w:rPr>
          <w:rFonts w:ascii="Times New Roman" w:hAnsi="Times New Roman" w:eastAsia="黑体"/>
          <w:b/>
          <w:color w:val="1F3A5F"/>
          <w:sz w:val="30"/>
        </w:rPr>
        <w:t>八、采集记录与引用建议</w:t>
      </w:r>
    </w:p>
    <w:p>
      <w:pPr>
        <w:pStyle w:val="ListBullet"/>
      </w:pPr>
      <w:r>
        <w:rPr>
          <w:rFonts w:ascii="Times New Roman" w:hAnsi="Times New Roman" w:eastAsia="宋体"/>
          <w:b w:val="0"/>
          <w:sz w:val="21"/>
        </w:rPr>
        <w:t>条文引用格式（举例）：Central Bank of Malaysia Act 2009 (Act 701), s.56(1)(a),(b),(2); s.57; s.58（Laws of Malaysia, AGC reprint as at 1 Nov 2020, pp.63–64）。</w:t>
      </w:r>
    </w:p>
    <w:p>
      <w:pPr>
        <w:pStyle w:val="ListBullet"/>
      </w:pPr>
      <w:r>
        <w:rPr>
          <w:rFonts w:ascii="Times New Roman" w:hAnsi="Times New Roman" w:eastAsia="宋体"/>
          <w:b w:val="0"/>
          <w:sz w:val="21"/>
        </w:rPr>
        <w:t>字段填写建议：s.56＝Mandatory reference / consideration by court or arbitrator（强制考虑或提交）；s.57＝SAC rulings binding on IFIs and referring court/arbitrator（拘束力）；s.58＝SAC ruling prevails over internal Shariah committee（优先效力）。</w:t>
      </w:r>
    </w:p>
    <w:p>
      <w:pPr>
        <w:pStyle w:val="ListBullet"/>
      </w:pPr>
      <w:r>
        <w:rPr>
          <w:rFonts w:ascii="Times New Roman" w:hAnsi="Times New Roman" w:eastAsia="宋体"/>
          <w:b w:val="0"/>
          <w:sz w:val="21"/>
        </w:rPr>
        <w:t>“是否修订过”字段：第56/57/58条自2009年至今未修订（依据该法 List of Sections Amended，其中仅列 s.2,15,31,32,37,38,48,62,63,64,66A,76,77,82 及 Third Schedule）。</w:t>
      </w:r>
    </w:p>
    <w:p>
      <w:r>
        <w:rPr>
          <w:rFonts w:ascii="Times New Roman" w:hAnsi="Times New Roman" w:eastAsia="黑体"/>
          <w:b/>
          <w:color w:val="1F3A5F"/>
          <w:sz w:val="30"/>
        </w:rPr>
        <w:t>九、核验记录与如实声明</w:t>
      </w:r>
    </w:p>
    <w:p>
      <w:pPr>
        <w:pStyle w:val="ListBullet"/>
      </w:pPr>
      <w:r>
        <w:rPr>
          <w:rFonts w:ascii="Times New Roman" w:hAnsi="Times New Roman" w:eastAsia="宋体"/>
          <w:b w:val="0"/>
          <w:sz w:val="21"/>
        </w:rPr>
        <w:t>已从 AGC 联邦法律官网下载 Act 701 官方 PDF（112页），全文检索定位第56/57/58条；将 PDF 第63–64页渲染成图与提取文本逐字核对一致；另取2009年原始文本独立比对，三条文字完全相同，确认无提取错误、无后续改动。</w:t>
      </w:r>
    </w:p>
    <w:p>
      <w:pPr>
        <w:pStyle w:val="ListBullet"/>
      </w:pPr>
      <w:r>
        <w:rPr>
          <w:rFonts w:ascii="Times New Roman" w:hAnsi="Times New Roman" w:eastAsia="宋体"/>
          <w:b w:val="0"/>
          <w:sz w:val="21"/>
        </w:rPr>
        <w:t>AGC 在线 PDF 封面标注其为法律修订专员依《1968年法律修订法》重印的“在线更新文本（Online Version of Updated Text of Reprint）”；认证正本以政府公报/官方印刷本为准，但 lom.agc.gov.my 是官方对外发布现行法律的门户，为通用官方引用来源。</w:t>
      </w:r>
    </w:p>
    <w:p>
      <w:pPr>
        <w:pStyle w:val="ListBullet"/>
      </w:pPr>
      <w:r>
        <w:rPr>
          <w:rFonts w:ascii="Times New Roman" w:hAnsi="Times New Roman" w:eastAsia="宋体"/>
          <w:b w:val="0"/>
          <w:sz w:val="21"/>
        </w:rPr>
        <w:t>BNM 官网文件在当前网络环境直连下载被重置（SSL EOF/超时），故未落地 BNM 托管副本，仅核读其官网页面并记录官方 URL；条文以 AGC 官方 PDF 为准，不影响“官方 URL + 原文准确”的验收要求。</w:t>
      </w:r>
    </w:p>
    <w:p>
      <w:r>
        <w:rPr>
          <w:rFonts w:ascii="Times New Roman" w:hAnsi="Times New Roman" w:eastAsia="黑体"/>
          <w:b/>
          <w:color w:val="1F3A5F"/>
          <w:sz w:val="30"/>
        </w:rPr>
        <w:t>十、随附文件与校验值</w:t>
      </w:r>
    </w:p>
    <w:tbl>
      <w:tblPr>
        <w:tblStyle w:val="TableGrid"/>
        <w:tblW w:type="auto" w:w="0"/>
        <w:jc w:val="center"/>
        <w:tblLook w:firstColumn="1" w:firstRow="1" w:lastColumn="0" w:lastRow="0" w:noHBand="0" w:noVBand="1" w:val="04A0"/>
      </w:tblPr>
      <w:tblGrid>
        <w:gridCol w:w="2880"/>
        <w:gridCol w:w="2880"/>
        <w:gridCol w:w="2880"/>
      </w:tblGrid>
      <w:tr>
        <w:tc>
          <w:tcPr>
            <w:tcW w:type="dxa" w:w="3628"/>
            <w:shd w:val="clear" w:fill="1F3A5F"/>
          </w:tcPr>
          <w:p>
            <w:r/>
            <w:r>
              <w:rPr>
                <w:rFonts w:ascii="Times New Roman" w:hAnsi="Times New Roman" w:eastAsia="黑体"/>
                <w:b/>
                <w:color w:val="FFFFFF"/>
                <w:sz w:val="19"/>
              </w:rPr>
              <w:t>文件</w:t>
            </w:r>
          </w:p>
        </w:tc>
        <w:tc>
          <w:tcPr>
            <w:tcW w:type="dxa" w:w="4309"/>
            <w:shd w:val="clear" w:fill="1F3A5F"/>
          </w:tcPr>
          <w:p>
            <w:r/>
            <w:r>
              <w:rPr>
                <w:rFonts w:ascii="Times New Roman" w:hAnsi="Times New Roman" w:eastAsia="黑体"/>
                <w:b/>
                <w:color w:val="FFFFFF"/>
                <w:sz w:val="19"/>
              </w:rPr>
              <w:t>说明</w:t>
            </w:r>
          </w:p>
        </w:tc>
        <w:tc>
          <w:tcPr>
            <w:tcW w:type="dxa" w:w="2835"/>
            <w:shd w:val="clear" w:fill="1F3A5F"/>
          </w:tcPr>
          <w:p>
            <w:r/>
            <w:r>
              <w:rPr>
                <w:rFonts w:ascii="Times New Roman" w:hAnsi="Times New Roman" w:eastAsia="黑体"/>
                <w:b/>
                <w:color w:val="FFFFFF"/>
                <w:sz w:val="19"/>
              </w:rPr>
              <w:t>MD5</w:t>
            </w:r>
          </w:p>
        </w:tc>
      </w:tr>
      <w:tr>
        <w:tc>
          <w:tcPr>
            <w:tcW w:type="dxa" w:w="3628"/>
          </w:tcPr>
          <w:p>
            <w:r/>
            <w:r>
              <w:rPr>
                <w:rFonts w:ascii="Times New Roman" w:hAnsi="Times New Roman" w:eastAsia="宋体"/>
                <w:b w:val="0"/>
                <w:sz w:val="19"/>
              </w:rPr>
              <w:t>CBA2009_Act701_AGC.pdf</w:t>
            </w:r>
          </w:p>
        </w:tc>
        <w:tc>
          <w:tcPr>
            <w:tcW w:type="dxa" w:w="4309"/>
          </w:tcPr>
          <w:p>
            <w:r/>
            <w:r>
              <w:rPr>
                <w:rFonts w:ascii="Times New Roman" w:hAnsi="Times New Roman" w:eastAsia="宋体"/>
                <w:b w:val="0"/>
                <w:sz w:val="19"/>
              </w:rPr>
              <w:t>CBA 2009 官方英文合订本 PDF（112页，含s.56–58，第63–64页）</w:t>
            </w:r>
          </w:p>
        </w:tc>
        <w:tc>
          <w:tcPr>
            <w:tcW w:type="dxa" w:w="2835"/>
          </w:tcPr>
          <w:p>
            <w:r/>
            <w:r>
              <w:rPr>
                <w:rFonts w:ascii="Times New Roman" w:hAnsi="Times New Roman" w:eastAsia="宋体"/>
                <w:b w:val="0"/>
                <w:sz w:val="19"/>
              </w:rPr>
              <w:t>a35b8bba773355e867b3796da307a2f7</w:t>
            </w:r>
          </w:p>
        </w:tc>
      </w:tr>
      <w:tr>
        <w:tc>
          <w:tcPr>
            <w:tcW w:type="dxa" w:w="3628"/>
          </w:tcPr>
          <w:p>
            <w:r/>
            <w:r>
              <w:rPr>
                <w:rFonts w:ascii="Times New Roman" w:hAnsi="Times New Roman" w:eastAsia="宋体"/>
                <w:b w:val="0"/>
                <w:sz w:val="19"/>
              </w:rPr>
              <w:t>CBA2009_第56-58条_中文采集记录.docx</w:t>
            </w:r>
          </w:p>
        </w:tc>
        <w:tc>
          <w:tcPr>
            <w:tcW w:type="dxa" w:w="4309"/>
          </w:tcPr>
          <w:p>
            <w:r/>
            <w:r>
              <w:rPr>
                <w:rFonts w:ascii="Times New Roman" w:hAnsi="Times New Roman" w:eastAsia="宋体"/>
                <w:b w:val="0"/>
                <w:sz w:val="19"/>
              </w:rPr>
              <w:t>本中文记录</w:t>
            </w:r>
          </w:p>
        </w:tc>
        <w:tc>
          <w:tcPr>
            <w:tcW w:type="dxa" w:w="2835"/>
          </w:tcPr>
          <w:p>
            <w:r/>
            <w:r>
              <w:rPr>
                <w:rFonts w:ascii="Times New Roman" w:hAnsi="Times New Roman" w:eastAsia="宋体"/>
                <w:b w:val="0"/>
                <w:sz w:val="19"/>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