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erif CJK SC"/>
          <w:b/>
          <w:color w:val="1F3A5F"/>
          <w:sz w:val="32"/>
        </w:rPr>
        <w:t>马来西亚第二批（金融方向）正式条目采集记录</w:t>
      </w:r>
    </w:p>
    <w:p>
      <w:pPr>
        <w:jc w:val="center"/>
      </w:pPr>
      <w:r>
        <w:rPr>
          <w:rFonts w:ascii="Times New Roman" w:hAnsi="Times New Roman" w:eastAsia="Noto Serif CJK SC"/>
          <w:b w:val="0"/>
          <w:sz w:val="21"/>
        </w:rPr>
        <w:t>BNM SAC 的 sukuk / takaful 裁决 · IFSA 2013 沙里亚治理条款 · JAKIM halal 认证基础规则</w:t>
      </w:r>
    </w:p>
    <w:p>
      <w:pPr>
        <w:jc w:val="center"/>
      </w:pPr>
      <w:r>
        <w:rPr>
          <w:rFonts w:ascii="Times New Roman" w:hAnsi="Times New Roman" w:eastAsia="Noto Serif CJK SC"/>
          <w:b w:val="0"/>
          <w:color w:val="555555"/>
          <w:sz w:val="18"/>
        </w:rPr>
        <w:t>核验日期 2026-09-15　|　共 7 条马来西亚正式条目，每条挂接 SH-PRINCIPLE-* 并附官方 URL</w:t>
      </w:r>
    </w:p>
    <w:p>
      <w:pPr>
        <w:spacing w:before="160" w:after="80"/>
      </w:pPr>
      <w:r>
        <w:rPr>
          <w:rFonts w:ascii="Times New Roman" w:hAnsi="Times New Roman" w:eastAsia="Noto Serif CJK SC"/>
          <w:b/>
          <w:color w:val="1F3A5F"/>
          <w:sz w:val="28"/>
        </w:rPr>
        <w:t>一、7 条正式条目 × SH-PRINCIPLE 挂接速览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454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#</w:t>
            </w:r>
          </w:p>
        </w:tc>
        <w:tc>
          <w:tcPr>
            <w:tcW w:type="dxa" w:w="5272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马来西亚正式条目（出处/文号）</w:t>
            </w:r>
          </w:p>
        </w:tc>
        <w:tc>
          <w:tcPr>
            <w:tcW w:type="dxa" w:w="1304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835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挂接的 SH-PRINCIPLE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BNM SAC 关于 sukuk 的裁决（官方汇编 Res 11/14/62/63/99/100/105/108）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SAC 裁决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02-AssetBacking、01-RibaFree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BNM SAC 关于 takaful 的裁决（官方汇编 Res 41/43/46/50/52/55/56/57/59/91）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SAC 裁决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03-TabarruMutual、04-WakalahAgency、05-FundSegregation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IFSA 2013 第28–29条：沙里亚合规义务与 BNM 标准制定权（Act 759）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联邦法律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06-ShariahGovernance、07-SacBinding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IFSA 2013 第30–38条：Shariah 委员会的设置与运行（Act 759）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联邦法律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06-ShariahGovernance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BNM《沙里亚治理政策文件》SGP 2019（BNM/RH/PD 028-100）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央行政策文件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06-ShariahGovernance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马来西亚 halal 法定认证框架：Trade Descriptions Act 2011（Act 730）＋P.U.(A) 430/2011＋P.U.(A) 431/2011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联邦法律/附属立法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08-HalalTayyib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halal 技术与程序基准：MS 1500:2019、MPPHM 认证手册、halal.gov.my 官方门户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国家标准/行政程序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08-HalalTayyib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Noto Serif CJK SC"/>
          <w:b/>
          <w:color w:val="1F3A5F"/>
          <w:sz w:val="28"/>
        </w:rPr>
        <w:t>二、SH-PRINCIPLE-* 编号对照表（挂接口径说明）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color w:val="555555"/>
          <w:sz w:val="18"/>
        </w:rPr>
        <w:t>下表按伊斯兰金融通行的 Shariah 原则做自解释命名，作为本批条目的统一挂接口径；若你的数据集内部已有另一套 SH-PRINCIPLE 编码，可按“原则含义”一列直接替换编号，不影响条目本身与官方 URL。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948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原则编号</w:t>
            </w:r>
          </w:p>
        </w:tc>
        <w:tc>
          <w:tcPr>
            <w:tcW w:type="dxa" w:w="4082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原则含义（中/英/阿语源词）</w:t>
            </w:r>
          </w:p>
        </w:tc>
        <w:tc>
          <w:tcPr>
            <w:tcW w:type="dxa" w:w="2835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在本批中的作用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SH-PRINCIPLE-01-RibaFree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禁止利息，以真实买卖/租赁/合伙合约替代固定利息（riba-free）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sukuk 用资产与合约结构替代利息融资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SH-PRINCIPLE-02-AssetBacking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须有真实底层资产与真实交易支撑（asset-backing / materiality）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sukuk 发行、底层资产存续与担保的核心标尺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SH-PRINCIPLE-03-TabarruMutual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tabarru‘ 捐赠、互助共济（takaful 相互保障的根基）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takaful/retakaful 商业模式合法性来源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SH-PRINCIPLE-04-WakalahAgency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wakalah 代理受托（参与者委托公司管理基金）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takaful 运营、sukuk 管理的合约基础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SH-PRINCIPLE-05-FundSegregation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参与者基金与股东基金分账、独立透明（fund segregation）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takaful 基金分账、盈余/赤字处理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SH-PRINCIPLE-06-ShariahGovernance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机构层面沙里亚治理：设沙里亚委员会、明确职责与审计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IFSA s.28–38 与 SGP 2019 的主线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SH-PRINCIPLE-07-SacBinding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BNM SAC 为最高沙里亚权威、其裁决具拘束力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IFSA s.28(2) 把“遵从 SAC 裁决”等同于合规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SH-PRINCIPLE-08-HalalTayyib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halalan tayyiban——合法且佳善（非禁物、洁净、非致醉、安全）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halal 定义、认证与技术标准的总原则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Times New Roman" w:hAnsi="Times New Roman" w:eastAsia="Noto Serif CJK SC"/>
          <w:b/>
          <w:color w:val="1F3A5F"/>
          <w:sz w:val="28"/>
        </w:rPr>
        <w:t>三、逐条采集内容</w:t>
      </w:r>
    </w:p>
    <w:p>
      <w:pPr>
        <w:spacing w:before="120" w:after="40"/>
      </w:pPr>
      <w:r>
        <w:rPr>
          <w:rFonts w:ascii="Times New Roman" w:hAnsi="Times New Roman" w:eastAsia="Noto Serif CJK SC"/>
          <w:b/>
          <w:color w:val="1F3A5F"/>
          <w:sz w:val="23"/>
        </w:rPr>
        <w:t>条目 1　BNM SAC 关于 sukuk（伊斯兰债券）的裁决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正式出处：Bank Negara Malaysia 官方汇编《Shariah Resolutions in Islamic Finance》(2nd ed., 2010)，BNM 为最高沙里亚权威（1997 年 5 月设立 SAC）。下列每条均含“决议号·届次·日期·裁定·汇编页码”。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964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决议号</w:t>
            </w:r>
          </w:p>
        </w:tc>
        <w:tc>
          <w:tcPr>
            <w:tcW w:type="dxa" w:w="1247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届次</w:t>
            </w:r>
          </w:p>
        </w:tc>
        <w:tc>
          <w:tcPr>
            <w:tcW w:type="dxa" w:w="1191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443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SAC 裁定要点（中文）</w:t>
            </w:r>
          </w:p>
        </w:tc>
        <w:tc>
          <w:tcPr>
            <w:tcW w:type="dxa" w:w="567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页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11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第67次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2007-05-03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以 mudarabah 合约取得第三方资产来发行 sukuk ijarah：不允许（以“成本节约”定 mudarabah 利润的方式不合合伙利润原则）。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p.16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14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第70次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2007-09-12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以买卖（sale）方式取得第三方资产来发行 sukuk ijarah：允许。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p.20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62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第58次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2006-04-27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sukuk ijarah 与合规股票可作为 tawarruq／商品 murabahah 的底层资产用于伊斯兰金融体系流动性管理：允许；sukuk ijarah 须由有形资产、或有形+金融资产组合支撑。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p.97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63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第67次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2007-05-03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基于 tawarruq 发行 sukuk commodity murabahah：沙里亚上不反对，前提是买卖交易涉及三个或以上缔约方。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p.100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99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第41次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2004-03-08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Sukuk BBA 的底层资产（银行间 mudarabah 投资）无须在整个债券存续期内始终存在。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p.162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100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第42次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2004-03-25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Sukuk BBA 的三种竞标方式均为允许。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p.164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105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第10次特别会议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2009-04-09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Danajamin 对 sukuk 的担保范围：买卖类（如 murabahah）可保本保利；合伙类（musyarakah/mudarabah/wakalah bi al-istithmar）只可保本。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p.171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108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第10次特别会议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2009-04-09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sukuk ijarah 底层资产所有权按合约条款定：Danajamin 只付期内租金/票息时资产仍归投资人；支付购买承诺价后所有权转发行人，并作为其已代偿债务的担保（collateral）。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p.174</w:t>
            </w:r>
          </w:p>
        </w:tc>
      </w:tr>
    </w:tbl>
    <w:p>
      <w:pPr>
        <w:spacing w:after="60" w:line="276" w:lineRule="auto"/>
      </w:pPr>
      <w:r>
        <w:rPr>
          <w:rFonts w:ascii="Times New Roman" w:hAnsi="Times New Roman" w:eastAsia="Noto Serif CJK SC"/>
          <w:b/>
          <w:sz w:val="18"/>
        </w:rPr>
        <w:t>挂接原则：SH-PRINCIPLE-02-AssetBacking（真实底层资产/交易）、SH-PRINCIPLE-01-RibaFree（以租赁、买卖、合伙结构替代利息）。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color w:val="555555"/>
          <w:sz w:val="17"/>
        </w:rPr>
        <w:t>官方 URL：汇编 PDF https://www.bnm.gov.my/documents/20124/9198675/shariah_resolutions_2nd_edition_EN.pdf ；SAC 专页 https://www.bnm.gov.my/committees/sac</w:t>
      </w:r>
    </w:p>
    <w:p>
      <w:pPr>
        <w:spacing w:before="120" w:after="40"/>
      </w:pPr>
      <w:r>
        <w:rPr>
          <w:rFonts w:ascii="Times New Roman" w:hAnsi="Times New Roman" w:eastAsia="Noto Serif CJK SC"/>
          <w:b/>
          <w:color w:val="1F3A5F"/>
          <w:sz w:val="23"/>
        </w:rPr>
        <w:t>条目 2　BNM SAC 关于 takaful（伊斯兰保险）的裁决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正式出处：同上官方汇编 TAKAFUL 专章（p.62–93）及信用卡章 Res 91。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964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决议号</w:t>
            </w:r>
          </w:p>
        </w:tc>
        <w:tc>
          <w:tcPr>
            <w:tcW w:type="dxa" w:w="1474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届次</w:t>
            </w:r>
          </w:p>
        </w:tc>
        <w:tc>
          <w:tcPr>
            <w:tcW w:type="dxa" w:w="1531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819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SAC 裁定要点（中文）</w:t>
            </w:r>
          </w:p>
        </w:tc>
        <w:tc>
          <w:tcPr>
            <w:tcW w:type="dxa" w:w="567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页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41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第24次 / 第2次特别会议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2002-04-24 / 2007-06-18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基于 tabarru‘（捐赠）+wakalah（代理）的 takaful 与 retakaful 商业模式：允许；wakalah 缔结于参与者与公司之间，tabarru‘ 仅缔结于参与者彼此之间。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p.63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43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第87次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2009-06-23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带 wakaf（捐赠基金）要素、以 wakalah 运作的 retakaful 模式：允许，但不得脱离参与者 tabarru‘ 供款的基础。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p.66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46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第70次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2007-09-12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为传统（含 riba 的）信用卡产品提供专项 takaful 保障：不允许。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p.70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50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第62次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2006-10-04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takaful 基金分账（segregation of funds）方案：允许。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p.74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52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第42/59/62次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2004-03-25；2006-05-25；2006-10-04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参与者风险基金（PRF）盈余可在参与者与公司间分配，分配方式须在缔约时写明并经参与者同意；wakalah 模式下基金经理可获业绩激励。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p.76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55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第38/46/62次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2003-08-28；2004-10-28；2006-10-04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PRF 出现不足时，由公司股东基金以 qard（无息借款）注入弥补；若持续赤字或因管理不善造成，则由股东基金向 PRF 无偿划转。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p.82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56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第34次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2003-04-21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takaful 利益可设为 hibah（馈赠）；该馈赠为附条件 hibah，不因此转为遗赠（bequest）。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p.84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57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第52次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2005-08-02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基于 hibah 的 takaful 指定/受托机制：理赔金不构成亡者遗产、不用于清偿亡者债务；参与者可指定受托人。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p.85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59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第52/76次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2005-08-02 / 2008-06-09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“可保利益（insurable interest）”不违背沙里亚，takaful 中称为“合规 takaful 利益（permissible takaful interest）”。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p.92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Res 91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第77次</w:t>
            </w:r>
          </w:p>
        </w:tc>
        <w:tc>
          <w:tcPr>
            <w:tcW w:type="dxa" w:w="153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2008-07-03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向伊斯兰信用卡持卡人提供人身意外 takaful：若另收 ujrah（费用）则不合规；若作为 hibah 免费提供则允许。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p.153</w:t>
            </w:r>
          </w:p>
        </w:tc>
      </w:tr>
    </w:tbl>
    <w:p>
      <w:pPr>
        <w:spacing w:after="60" w:line="276" w:lineRule="auto"/>
      </w:pPr>
      <w:r>
        <w:rPr>
          <w:rFonts w:ascii="Times New Roman" w:hAnsi="Times New Roman" w:eastAsia="Noto Serif CJK SC"/>
          <w:b/>
          <w:sz w:val="18"/>
        </w:rPr>
        <w:t>挂接原则：SH-PRINCIPLE-03-TabarruMutual（互助捐赠）、SH-PRINCIPLE-04-WakalahAgency（代理运营）、SH-PRINCIPLE-05-FundSegregation（基金分账与盈余/赤字处理）。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color w:val="555555"/>
          <w:sz w:val="17"/>
        </w:rPr>
        <w:t>官方 URL：同条目 1 汇编 PDF（TAKAFUL 章 p.62–93、p.153）https://www.bnm.gov.my/documents/20124/9198675/shariah_resolutions_2nd_edition_EN.pdf</w:t>
      </w:r>
    </w:p>
    <w:p>
      <w:r>
        <w:br w:type="page"/>
      </w:r>
    </w:p>
    <w:p>
      <w:pPr>
        <w:spacing w:before="120" w:after="40"/>
      </w:pPr>
      <w:r>
        <w:rPr>
          <w:rFonts w:ascii="Times New Roman" w:hAnsi="Times New Roman" w:eastAsia="Noto Serif CJK SC"/>
          <w:b/>
          <w:color w:val="1F3A5F"/>
          <w:sz w:val="23"/>
        </w:rPr>
        <w:t>条目 3　IFSA 2013 第 28–29 条：沙里亚合规义务与 BNM 标准制定权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正式出处：Islamic Financial Services Act 2013（Act 759），Part IV Division 1；马来西亚总检察长署（AGC）联邦法律官方文本。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s.28(1)：任何机构（institution）必须始终确保其宗旨、运营、业务与活动符合 Shariah。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s.28(2)：就本法而言，遵从 SAC 就某事项作出的裁决，即被视为该项符合 Shariah（把 SAC 裁决直接等同于合规——挂 SH-PRINCIPLE-07）。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s.28(3)：机构一旦发现业务不合规（或不符合其沙委会建议/SAC 裁决），须 (a) 立即通知 BNM 与本机构沙委会；(b) 立即停止该业务及类似业务；(c) 30 天内向 BNM 提交整改计划。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s.28(5)：违反 s.28(1)/(3) 构成犯罪，定罪后最高监禁 8 年、或最高 2,500 万令吉罚金、或两者并罚。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s.29(1)：BNM 可依 SAC 的建议/裁决就沙里亚事项制定标准；s.29(2)(a) 明确 BNM 可就“沙里亚治理”制定标准，涵盖 (i) 董事会、高管、沙委会成员在合规上的职能与责任；(ii) 沙委会成员的适格（fit and proper）与失格要求；(iii) 内部沙里亚合规职能。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s.29(6)：违反依 s.29(1) 制定的标准同样构成犯罪，最高监禁 8 年或 2,500 万令吉罚金或并罚。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/>
          <w:sz w:val="18"/>
        </w:rPr>
        <w:t>挂接原则：SH-PRINCIPLE-06-ShariahGovernance、SH-PRINCIPLE-07-SacBinding。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color w:val="555555"/>
          <w:sz w:val="17"/>
        </w:rPr>
        <w:t>官方 URL（AGC 2021 合订本 PDF，s.28–29 位于 p.67–69）：https://lom.agc.gov.my/ilims/upload/portal/akta/outputaktap/1691495_BI/11022021%20ACT%20759%20final.pdf</w:t>
      </w:r>
    </w:p>
    <w:p>
      <w:pPr>
        <w:spacing w:before="120" w:after="40"/>
      </w:pPr>
      <w:r>
        <w:rPr>
          <w:rFonts w:ascii="Times New Roman" w:hAnsi="Times New Roman" w:eastAsia="Noto Serif CJK SC"/>
          <w:b/>
          <w:color w:val="1F3A5F"/>
          <w:sz w:val="23"/>
        </w:rPr>
        <w:t>条目 4　IFSA 2013 第 30–38 条：Shariah 委员会的设置与运行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正式出处：Act 759，Part IV Division 2（Shariah governance）与 Division 3（Audit on Shariah compliance）。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94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条款</w:t>
            </w:r>
          </w:p>
        </w:tc>
        <w:tc>
          <w:tcPr>
            <w:tcW w:type="dxa" w:w="2608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标题（英文/中文）</w:t>
            </w:r>
          </w:p>
        </w:tc>
        <w:tc>
          <w:tcPr>
            <w:tcW w:type="dxa" w:w="6350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核心规定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s.30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Establishment of Shariah committee／设立沙里亚委员会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持牌人（licensed person）必须设立沙委会，就确保业务合规向其提供咨询；同一金融集团内可向 BNM 申请只设一个沙委会（BNM 书面批准）；BNM 也可要求核准人或指定支付系统运营者设立。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s.31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Appointment／成员任命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任何人受任为沙委会成员，须符合 BNM 依 s.29(2)(a)(ii) 制定的标准，并取得 BNM 事先书面批准。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s.32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Duties／职责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沙委会及其每一成员的职责与职能，由 BNM 依 s.29(2)(a)(i) 制定的标准规定。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s.33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Cessation／成员资格终止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终止情形：辞职；机构经 BNM 事先书面批准解聘；依标准失格；不再满足适格要求。成员辞职/自知失格须 14 天内报 BNM；BNM 亦可书面命令罢免成员。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s.34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Notice of cessation／终止通知与补任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机构须在成员终止后 14 天内书面报 BNM 及原因；并须在 BNM 指定期限内按 s.31 任命新成员。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s.35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Information to be provided／信息提供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机构及其董事、高管、控制人须向沙委会提供其履职所需、且准确完整不具重大误导的文件信息；成员原则上负保密义务。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s.36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Qualified privilege &amp; confidentiality／合格特权与保密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成员善意向 BNM 报告、善意履职，不构成对机构的保密义务违反；成员无恶意履职所作陈述不被诉诽谤。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s.37–38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Audit on Shariah compliance／沙里亚合规审计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BNM 可要求机构任命（s.37）、或在机构未任命等情形下直接为机构任命（s.38）人员开展沙里亚合规审计，审计报告报 BNM，相关薪酬费用由机构承担。</w:t>
            </w:r>
          </w:p>
        </w:tc>
      </w:tr>
    </w:tbl>
    <w:p>
      <w:pPr>
        <w:spacing w:after="60" w:line="276" w:lineRule="auto"/>
      </w:pPr>
      <w:r>
        <w:rPr>
          <w:rFonts w:ascii="Times New Roman" w:hAnsi="Times New Roman" w:eastAsia="Noto Serif CJK SC"/>
          <w:b/>
          <w:sz w:val="18"/>
        </w:rPr>
        <w:t>挂接原则：SH-PRINCIPLE-06-ShariahGovernance（沙委会的强制设立、适格任命、职责、终止、信息权、特权与合规审计闭环）。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color w:val="555555"/>
          <w:sz w:val="17"/>
        </w:rPr>
        <w:t>官方 URL：同条目 3 的 AGC 合订本 PDF（s.30–38 位于 p.70–75）。</w:t>
      </w:r>
    </w:p>
    <w:p>
      <w:pPr>
        <w:spacing w:before="120" w:after="40"/>
      </w:pPr>
      <w:r>
        <w:rPr>
          <w:rFonts w:ascii="Times New Roman" w:hAnsi="Times New Roman" w:eastAsia="Noto Serif CJK SC"/>
          <w:b/>
          <w:color w:val="1F3A5F"/>
          <w:sz w:val="23"/>
        </w:rPr>
        <w:t>条目 5　BNM《沙里亚治理政策文件》（Shariah Governance Policy Document, SGP 2019）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正式出处：Bank Negara Malaysia 政策文件，编号 BNM/RH/PD 028-100；2019-09-20 发布，2020-04-01 生效，取代 2010 年《Shariah Governance Framework》。本次已下载 BNM 官方 PDF（24 页）核对。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治理框架为“三层问责 + 三大控制职能”：Part B 董事会（board，须把沙里亚治理制度化、对沙里亚治理负监督问责）、Part C 沙里亚委员会、Part D 高级管理层。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三大控制职能：§17 Shariah risk management（沙里亚风险管理）、§18 Shariah review（沙里亚审查）、§19 Shariah audit（沙里亚审计）；§22 规定董事会与沙委会的披露义务。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政策目标：提升沙里亚治理实效，把沙里亚考量更紧密嵌入机构的业务与风险战略——是 IFSA s.29(2)(a) 治理标准的具体落地。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/>
          <w:sz w:val="18"/>
        </w:rPr>
        <w:t>挂接原则：SH-PRINCIPLE-06-ShariahGovernance。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color w:val="555555"/>
          <w:sz w:val="17"/>
        </w:rPr>
        <w:t>官方 URL（PDF）：https://www.bnm.gov.my/documents/20124/761679/Shariah+Governance+Policy+Document+2019.pdf ；落地页：https://www.bnm.gov.my/-/policy-document-on-shariah-governance</w:t>
      </w:r>
    </w:p>
    <w:p>
      <w:r>
        <w:br w:type="page"/>
      </w:r>
    </w:p>
    <w:p>
      <w:pPr>
        <w:spacing w:before="120" w:after="40"/>
      </w:pPr>
      <w:r>
        <w:rPr>
          <w:rFonts w:ascii="Times New Roman" w:hAnsi="Times New Roman" w:eastAsia="Noto Serif CJK SC"/>
          <w:b/>
          <w:color w:val="1F3A5F"/>
          <w:sz w:val="23"/>
        </w:rPr>
        <w:t>条目 6　马来西亚 halal 法定认证框架：Act 730 ＋ P.U.(A) 430/2011 ＋ P.U.(A) 431/2011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正式出处：马来西亚联邦法律，AGC 官方文本；主管机关为 JAKIM（马来西亚伊斯兰发展局）与各州伊斯兰宗教理事会（JAIN/MAIN）。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608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041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文号/日期</w:t>
            </w:r>
          </w:p>
        </w:tc>
        <w:tc>
          <w:tcPr>
            <w:tcW w:type="dxa" w:w="5102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核心内容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母法：Trade Descriptions Act 2011（商品说明法）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Act 730；2011-08-05 御准、08-18 公布、11-01 生效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其 s.28、s.29 授权部长制定两项 halal 附属法令（定义令、认证与标识令），为 halal 制度的法律母体。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定义令：Trade Descriptions (Definition of Halal) Order 2011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P.U.(A) 430/2011（依 Act 730 s.28）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s.3 规定食品/货物被描述为 halal 的要件：(a) 不含 Hukum Syarak（依沙斐仪派 Shafii 教法）禁止穆斯林食用之物、或未按教法屠宰之物；(b) 不含不洁之物（najis）；(c) 不致醉（intoxicate）；(d) 不含教法不允许的人体成分及其产出；(e) 安全、无毒无害等。本次已下载 AGC 官方 PDF（9 页）核对。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认证与标识令：Trade Descriptions (Certification and Marking of Halal) Order 2011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P.U.(A) 431/2011（依 Act 730 s.29）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s.2 指定 JAKIM（联邦层面）与各州伊斯兰宗教理事会为 halal 认证的唯一法定主管机关（competent authority），其他任何人无权出具 halal 认证；并规定 halal 标识与认证程序（s.7 衔接认证手册）。文号经 JAKIM 官方新闻稿及 2023、2026 修订令双重核对。</w:t>
            </w:r>
          </w:p>
        </w:tc>
      </w:tr>
    </w:tbl>
    <w:p>
      <w:pPr>
        <w:spacing w:after="60" w:line="276" w:lineRule="auto"/>
      </w:pPr>
      <w:r>
        <w:rPr>
          <w:rFonts w:ascii="Times New Roman" w:hAnsi="Times New Roman" w:eastAsia="Noto Serif CJK SC"/>
          <w:b/>
          <w:sz w:val="18"/>
        </w:rPr>
        <w:t>挂接原则：SH-PRINCIPLE-08-HalalTayyib（合法且佳善：非禁物、按教法屠宰、洁净、非致醉、安全）。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color w:val="555555"/>
          <w:sz w:val="17"/>
        </w:rPr>
        <w:t>官方 URL：Act 730 索引页 https://lom.agc.gov.my/act-detail.php?language=BI&amp;type=original&amp;act=730 ；P.U.(A) 430 定义令 PDF https://lom.agc.gov.my/ilims/upload/portal/akta/outputp/pua_20111230_P.U.%20(A)%20430-perintah%20perihal%20dagangan%20(takrif%20halal)%202011.pdf ；JAKIM 官网 https://www.islam.gov.my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color w:val="993333"/>
          <w:sz w:val="17"/>
        </w:rPr>
        <w:t>诚实标注：P.U.(A) 431/2011 的 AGC 独立 PDF 直链本次未稳定取到，故以 Act 730 官方索引页为入口、文号经多源核对，未编造链接。</w:t>
      </w:r>
    </w:p>
    <w:p>
      <w:pPr>
        <w:spacing w:before="120" w:after="40"/>
      </w:pPr>
      <w:r>
        <w:rPr>
          <w:rFonts w:ascii="Times New Roman" w:hAnsi="Times New Roman" w:eastAsia="Noto Serif CJK SC"/>
          <w:b/>
          <w:color w:val="1F3A5F"/>
          <w:sz w:val="23"/>
        </w:rPr>
        <w:t>条目 7　halal 技术与程序基准：MS 1500:2019、MPPHM 手册、halal.gov.my 门户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MS 1500（现行 MS 1500:2019《Halal Food—General Requirements／Makanan halal—Keperluan umum》，第三修订）：由马来西亚标准局（Department of Standards Malaysia, JSM）制定，是 halal 食品覆盖配料、制造、处理、包装、标识、储存、运输到零售全链条的技术门槛；JAKIM 认证以 MS 1500 为审查标尺。官方标准库 MySOL（JSM）：https://mysol.jsm.gov.my 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MPPHM《马来西亚 halal 认证程序手册》（Manual Prosedur Pensijilan Halal Malaysia）：JAKIM 依 P.U.(A) 431/2011 s.7(2) 发布，规定申请材料、审核、现场检查与发证流程；现行国内版为 2020 版（Domestic 2020），并配马来西亚 halal 管理系统（SPHM/MyeHALAL）在线办理。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• 官方门户 Halal Malaysia Portal：https://www.halal.gov.my （在线申请入口 https://myehalal.halal.gov.my ；并公布 JAKIM 认可的境外 halal 认证机构 FHCB 清单，进口商品须由其认可机构认证方可标注 halal）。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/>
          <w:sz w:val="18"/>
        </w:rPr>
        <w:t>挂接原则：SH-PRINCIPLE-08-HalalTayyib（把抽象的“合法佳善”落到可审核的技术标准与认证程序）。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color w:val="555555"/>
          <w:sz w:val="17"/>
        </w:rPr>
        <w:t>官方 URL：JSM 标准库 https://mysol.jsm.gov.my ；JAKIM halal 门户 https://www.halal.gov.my ；在线申请 https://myehalal.halal.gov.my</w:t>
      </w:r>
    </w:p>
    <w:p>
      <w:pPr>
        <w:spacing w:before="160" w:after="80"/>
      </w:pPr>
      <w:r>
        <w:rPr>
          <w:rFonts w:ascii="Times New Roman" w:hAnsi="Times New Roman" w:eastAsia="Noto Serif CJK SC"/>
          <w:b/>
          <w:color w:val="1F3A5F"/>
          <w:sz w:val="28"/>
        </w:rPr>
        <w:t>四、官方来源 URL 汇总（均可独立打开复核）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37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条目</w:t>
            </w:r>
          </w:p>
        </w:tc>
        <w:tc>
          <w:tcPr>
            <w:tcW w:type="dxa" w:w="2835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官方来源</w:t>
            </w:r>
          </w:p>
        </w:tc>
        <w:tc>
          <w:tcPr>
            <w:tcW w:type="dxa" w:w="6180"/>
            <w:shd w:val="clear" w:fill="1F3A5F"/>
          </w:tcPr>
          <w:p>
            <w:pPr>
              <w:jc w:val="center"/>
            </w:pPr>
            <w:r>
              <w:rPr>
                <w:rFonts w:ascii="Times New Roman" w:hAnsi="Times New Roman" w:eastAsia="Noto Serif CJK SC"/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1–2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BNM SAC 裁决汇编（2nd 2010）</w:t>
            </w:r>
          </w:p>
        </w:tc>
        <w:tc>
          <w:tcPr>
            <w:tcW w:type="dxa" w:w="618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https://www.bnm.gov.my/documents/20124/9198675/shariah_resolutions_2nd_edition_EN.pdf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1–2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BNM SAC 专页</w:t>
            </w:r>
          </w:p>
        </w:tc>
        <w:tc>
          <w:tcPr>
            <w:tcW w:type="dxa" w:w="618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https://www.bnm.gov.my/committees/sac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3–4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IFSA 2013（Act 759）AGC 合订本 PDF</w:t>
            </w:r>
          </w:p>
        </w:tc>
        <w:tc>
          <w:tcPr>
            <w:tcW w:type="dxa" w:w="618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https://lom.agc.gov.my/ilims/upload/portal/akta/outputaktap/1691495_BI/11022021%20ACT%20759%20final.pdf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BNM SGP 2019 官方 PDF</w:t>
            </w:r>
          </w:p>
        </w:tc>
        <w:tc>
          <w:tcPr>
            <w:tcW w:type="dxa" w:w="618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https://www.bnm.gov.my/documents/20124/761679/Shariah+Governance+Policy+Document+2019.pdf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BNM SGP 落地页</w:t>
            </w:r>
          </w:p>
        </w:tc>
        <w:tc>
          <w:tcPr>
            <w:tcW w:type="dxa" w:w="618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https://www.bnm.gov.my/-/policy-document-on-shariah-governance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Trade Descriptions Act 2011（Act 730）AGC 页</w:t>
            </w:r>
          </w:p>
        </w:tc>
        <w:tc>
          <w:tcPr>
            <w:tcW w:type="dxa" w:w="618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https://lom.agc.gov.my/act-detail.php?language=BI&amp;type=original&amp;act=730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P.U.(A) 430/2011 halal 定义令 AGC PDF</w:t>
            </w:r>
          </w:p>
        </w:tc>
        <w:tc>
          <w:tcPr>
            <w:tcW w:type="dxa" w:w="618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https://lom.agc.gov.my/ilims/upload/portal/akta/outputp/pua_20111230_P.U.%20(A)%20430-perintah%20perihal%20dagangan%20(takrif%20halal)%202011.pdf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JSM 国家标准库 MySOL</w:t>
            </w:r>
          </w:p>
        </w:tc>
        <w:tc>
          <w:tcPr>
            <w:tcW w:type="dxa" w:w="618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https://mysol.jsm.gov.my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JAKIM Halal Malaysia 门户</w:t>
            </w:r>
          </w:p>
        </w:tc>
        <w:tc>
          <w:tcPr>
            <w:tcW w:type="dxa" w:w="6180"/>
          </w:tcPr>
          <w:p>
            <w:pPr>
              <w:spacing w:after="20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https://www.halal.gov.my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Noto Serif CJK SC"/>
          <w:b/>
          <w:color w:val="1F3A5F"/>
          <w:sz w:val="28"/>
        </w:rPr>
        <w:t>五、核验与不编造声明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1. SAC 决议（条目1、2）：每条决议号、届次、日期、页码均从 BNM 官方汇编 PDF 正文“Resolution”段逐字提取，未凭二手资料转写；BNM 官方体系无 fatwa_id 字段，故以官方决议号 Resolution No. 对应。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2. IFSA 条款（条目3、4）：s.28–38 英文原文从 AGC 官方 Act 759（2021 合订本）PDF 提取，条款号、刑责幅度（8 年/2,500 万令吉）、页码均已核对。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3. SGP（条目5）：已下载 BNM 官方 PDF（24 页，编号 BNM/RH/PD 028-100）核对发布/生效日期与框架结构，随本记录一并交付该官方 PDF。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4. halal（条目6、7）：Act 730、P.U.(A) 430/2011 取自 AGC 官方（430 令官方 PDF 9 页已下载核对）；P.U.(A) 431/2011 文号经 JAKIM 新闻稿及 2023/2026 修订令交叉确认，其独立 PDF 直链未稳定取得处已如实标注，未编造。</w:t>
      </w:r>
    </w:p>
    <w:p>
      <w:pPr>
        <w:spacing w:after="60" w:line="276" w:lineRule="auto"/>
      </w:pPr>
      <w:r>
        <w:rPr>
          <w:rFonts w:ascii="Times New Roman" w:hAnsi="Times New Roman" w:eastAsia="Noto Serif CJK SC"/>
          <w:b w:val="0"/>
          <w:sz w:val="18"/>
        </w:rPr>
        <w:t>5. 本批共 7 条马来西亚正式条目，落在你要求的 5–8 条区间；每条均挂接 SH-PRINCIPLE-* 并附官方 URL。IFSA 与 SAC 汇编的官方 PDF 已在第一批/第三批交付，本批新增交付 SGP 2019 与 P.U.(A) 430 两份官方 PDF。</w:t>
      </w:r>
    </w:p>
    <w:sectPr w:rsidR="00FC693F" w:rsidRPr="0006063C" w:rsidSect="00034616">
      <w:pgSz w:w="12240" w:h="15840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