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44F9B">
      <w:pPr>
        <w:jc w:val="center"/>
      </w:pPr>
      <w:r>
        <w:rPr>
          <w:rFonts w:ascii="Times New Roman" w:hAnsi="Times New Roman" w:eastAsia="黑体"/>
          <w:b/>
          <w:color w:val="1F3A5F"/>
          <w:sz w:val="32"/>
        </w:rPr>
        <w:t>马来西亚《2013年伊斯兰金融服务法》（IFSA 2013, Act 759）</w:t>
      </w:r>
    </w:p>
    <w:p w14:paraId="56189309">
      <w:pPr>
        <w:jc w:val="center"/>
      </w:pPr>
      <w:r>
        <w:rPr>
          <w:rFonts w:ascii="Times New Roman" w:hAnsi="Times New Roman" w:eastAsia="黑体"/>
          <w:b/>
          <w:sz w:val="25"/>
        </w:rPr>
        <w:t>riba / 利息禁止相关条款 · 官方来源采集记录（中文导读）</w:t>
      </w:r>
    </w:p>
    <w:p w14:paraId="0197C7D6">
      <w:pPr>
        <w:jc w:val="center"/>
      </w:pPr>
      <w:r>
        <w:rPr>
          <w:rFonts w:ascii="Times New Roman" w:hAnsi="Times New Roman" w:eastAsia="宋体"/>
          <w:b w:val="0"/>
          <w:color w:val="666666"/>
          <w:sz w:val="18"/>
        </w:rPr>
        <w:t>检索与核验日期：2026-09-14　|　法案生效日：2013-06-30　|　官方文本语言：英文（权威法律文本）</w:t>
      </w:r>
    </w:p>
    <w:p w14:paraId="593E7934"/>
    <w:p w14:paraId="0BA992AA">
      <w:r>
        <w:rPr>
          <w:rFonts w:ascii="Times New Roman" w:hAnsi="Times New Roman" w:eastAsia="黑体"/>
          <w:b/>
          <w:color w:val="1F3A5F"/>
          <w:sz w:val="30"/>
        </w:rPr>
        <w:t>一、先看结论（不懂英文、不懂法律也能明白）</w:t>
      </w:r>
    </w:p>
    <w:p w14:paraId="20FD4A2C">
      <w:pPr>
        <w:pStyle w:val="16"/>
      </w:pPr>
      <w:r>
        <w:rPr>
          <w:rFonts w:ascii="Times New Roman" w:hAnsi="Times New Roman" w:eastAsia="宋体"/>
          <w:b/>
          <w:sz w:val="21"/>
        </w:rPr>
        <w:t>① 官方PDF已拿到：</w:t>
      </w:r>
      <w:r>
        <w:rPr>
          <w:rFonts w:ascii="Times New Roman" w:hAnsi="Times New Roman" w:eastAsia="宋体"/>
          <w:b w:val="0"/>
          <w:sz w:val="21"/>
        </w:rPr>
        <w:t>你要的官方 PDF 已经下载好，共 2 个版本，均来自马来西亚总检察长署（Attorney General’s Chambers，简称 AGC）的联邦法律官网“Laws of Malaysia”，是马来西亚法律的官方发布渠道。</w:t>
      </w:r>
    </w:p>
    <w:p w14:paraId="69DDDC86">
      <w:pPr>
        <w:pStyle w:val="16"/>
      </w:pPr>
      <w:r>
        <w:rPr>
          <w:rFonts w:ascii="Times New Roman" w:hAnsi="Times New Roman" w:eastAsia="宋体"/>
          <w:b/>
          <w:sz w:val="21"/>
        </w:rPr>
        <w:t>② 一个关键事实：</w:t>
      </w:r>
      <w:r>
        <w:rPr>
          <w:rFonts w:ascii="Times New Roman" w:hAnsi="Times New Roman" w:eastAsia="宋体"/>
          <w:b w:val="0"/>
          <w:sz w:val="21"/>
        </w:rPr>
        <w:t>IFSA 2013 全文里并没有出现“riba”这个词，也没有一句直接写“禁止利息（interest）”。马来西亚采用的是“合规推定”立法：法律强制要求所有伊斯兰金融业务的每一个环节都必须“符合沙里亚（Shariah，伊斯兰教法）”，而 riba（借贷利息/高利贷）正是沙里亚明确禁止的事物。因此，违反“符合沙里亚”义务、收取 riba，在 IFSA 下就是违法。</w:t>
      </w:r>
    </w:p>
    <w:p w14:paraId="2C4F66D3">
      <w:pPr>
        <w:pStyle w:val="16"/>
      </w:pPr>
      <w:r>
        <w:rPr>
          <w:rFonts w:ascii="Times New Roman" w:hAnsi="Times New Roman" w:eastAsia="宋体"/>
          <w:b/>
          <w:sz w:val="21"/>
        </w:rPr>
        <w:t>③ 最核心条款：</w:t>
      </w:r>
      <w:r>
        <w:rPr>
          <w:rFonts w:ascii="Times New Roman" w:hAnsi="Times New Roman" w:eastAsia="宋体"/>
          <w:b w:val="0"/>
          <w:sz w:val="21"/>
        </w:rPr>
        <w:t>第 28 条（Section 28，机构必须始终确保业务符合沙里亚；一旦发现不合规须立即报告、立即停止、30天内整改；违者最高监禁 8 年或罚款 2500 万林吉特）。</w:t>
      </w:r>
    </w:p>
    <w:p w14:paraId="42159D04">
      <w:pPr>
        <w:pStyle w:val="16"/>
      </w:pPr>
      <w:r>
        <w:rPr>
          <w:rFonts w:ascii="Times New Roman" w:hAnsi="Times New Roman" w:eastAsia="宋体"/>
          <w:b/>
          <w:sz w:val="21"/>
        </w:rPr>
        <w:t>④ 直接禁止条款：</w:t>
      </w:r>
      <w:r>
        <w:rPr>
          <w:rFonts w:ascii="Times New Roman" w:hAnsi="Times New Roman" w:eastAsia="宋体"/>
          <w:b w:val="0"/>
          <w:sz w:val="21"/>
        </w:rPr>
        <w:t>第 153(1)(a) 条（任何人不得在伊斯兰货币市场、伊斯兰外汇市场从事违背沙里亚的行为，违者最高监禁 10 年或罚款 5000 万林吉特）。</w:t>
      </w:r>
    </w:p>
    <w:p w14:paraId="6C9D408D">
      <w:pPr>
        <w:pStyle w:val="16"/>
      </w:pPr>
      <w:r>
        <w:rPr>
          <w:rFonts w:ascii="Times New Roman" w:hAnsi="Times New Roman" w:eastAsia="宋体"/>
          <w:b/>
          <w:sz w:val="21"/>
        </w:rPr>
        <w:t>⑤ riba由谁认定：</w:t>
      </w:r>
      <w:r>
        <w:rPr>
          <w:rFonts w:ascii="Times New Roman" w:hAnsi="Times New Roman" w:eastAsia="宋体"/>
          <w:b w:val="0"/>
          <w:sz w:val="21"/>
        </w:rPr>
        <w:t>“什么算 riba、什么算符合沙里亚”由马来西亚央行（BNM）的“沙里亚咨询理事会（Shariah Advisory Council, SAC）”裁决；IFSA 第 28(2) 条明确规定：符合 SAC 裁决＝法律上视为符合沙里亚。SAC 官方裁决书中明确写道“收取 interests or riba 为沙里亚所禁止”。</w:t>
      </w:r>
    </w:p>
    <w:p w14:paraId="639E7C71">
      <w:r>
        <w:rPr>
          <w:rFonts w:ascii="Times New Roman" w:hAnsi="Times New Roman" w:eastAsia="黑体"/>
          <w:b/>
          <w:color w:val="1F3A5F"/>
          <w:sz w:val="30"/>
        </w:rPr>
        <w:t>二、法案身份信息（数据集可直接引用）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6365"/>
      </w:tblGrid>
      <w:tr w14:paraId="72BF4629">
        <w:trPr>
          <w:jc w:val="center"/>
        </w:trPr>
        <w:tc>
          <w:tcPr>
            <w:tcW w:w="2551" w:type="dxa"/>
            <w:shd w:val="clear" w:color="auto" w:fill="1F3A5F"/>
          </w:tcPr>
          <w:p w14:paraId="7FF3AFE6">
            <w:pPr>
              <w:spacing w:after="0" w:line="240" w:lineRule="auto"/>
            </w:pPr>
            <w:r>
              <w:rPr>
                <w:rFonts w:ascii="Times New Roman" w:hAnsi="Times New Roman" w:eastAsia="黑体"/>
                <w:b/>
                <w:color w:val="FFFFFF"/>
                <w:sz w:val="19"/>
              </w:rPr>
              <w:t>项目</w:t>
            </w:r>
          </w:p>
        </w:tc>
        <w:tc>
          <w:tcPr>
            <w:tcW w:w="7087" w:type="dxa"/>
            <w:shd w:val="clear" w:color="auto" w:fill="1F3A5F"/>
          </w:tcPr>
          <w:p w14:paraId="4DD28F53">
            <w:pPr>
              <w:spacing w:after="0" w:line="240" w:lineRule="auto"/>
            </w:pPr>
            <w:r>
              <w:rPr>
                <w:rFonts w:ascii="Times New Roman" w:hAnsi="Times New Roman" w:eastAsia="黑体"/>
                <w:b/>
                <w:color w:val="FFFFFF"/>
                <w:sz w:val="19"/>
              </w:rPr>
              <w:t>内容</w:t>
            </w:r>
          </w:p>
        </w:tc>
      </w:tr>
      <w:tr w14:paraId="22008A13">
        <w:trPr>
          <w:jc w:val="center"/>
        </w:trPr>
        <w:tc>
          <w:tcPr>
            <w:tcW w:w="2551" w:type="dxa"/>
          </w:tcPr>
          <w:p w14:paraId="42E993C0">
            <w:pPr>
              <w:spacing w:after="0" w:line="240" w:lineRule="auto"/>
            </w:pPr>
            <w:r>
              <w:rPr>
                <w:rFonts w:ascii="Times New Roman" w:hAnsi="Times New Roman" w:eastAsia="宋体"/>
                <w:b w:val="0"/>
                <w:sz w:val="19"/>
              </w:rPr>
              <w:t>英文正式名称</w:t>
            </w:r>
          </w:p>
        </w:tc>
        <w:tc>
          <w:tcPr>
            <w:tcW w:w="7087" w:type="dxa"/>
          </w:tcPr>
          <w:p w14:paraId="2082F603">
            <w:pPr>
              <w:spacing w:after="0" w:line="240" w:lineRule="auto"/>
            </w:pPr>
            <w:r>
              <w:rPr>
                <w:rFonts w:ascii="Times New Roman" w:hAnsi="Times New Roman" w:eastAsia="宋体"/>
                <w:b w:val="0"/>
                <w:sz w:val="19"/>
              </w:rPr>
              <w:t>Islamic Financial Services Act 2013（缩写 IFSA 2013）</w:t>
            </w:r>
          </w:p>
        </w:tc>
      </w:tr>
      <w:tr w14:paraId="6C0754F8">
        <w:trPr>
          <w:jc w:val="center"/>
        </w:trPr>
        <w:tc>
          <w:tcPr>
            <w:tcW w:w="2551" w:type="dxa"/>
          </w:tcPr>
          <w:p w14:paraId="44CB4DFF">
            <w:pPr>
              <w:spacing w:after="0" w:line="240" w:lineRule="auto"/>
            </w:pPr>
            <w:r>
              <w:rPr>
                <w:rFonts w:ascii="Times New Roman" w:hAnsi="Times New Roman" w:eastAsia="宋体"/>
                <w:b w:val="0"/>
                <w:sz w:val="19"/>
              </w:rPr>
              <w:t>中文译名</w:t>
            </w:r>
          </w:p>
        </w:tc>
        <w:tc>
          <w:tcPr>
            <w:tcW w:w="7087" w:type="dxa"/>
          </w:tcPr>
          <w:p w14:paraId="30E14FB9">
            <w:pPr>
              <w:spacing w:after="0" w:line="240" w:lineRule="auto"/>
            </w:pPr>
            <w:r>
              <w:rPr>
                <w:rFonts w:ascii="Times New Roman" w:hAnsi="Times New Roman" w:eastAsia="宋体"/>
                <w:b w:val="0"/>
                <w:sz w:val="19"/>
              </w:rPr>
              <w:t>《2013年伊斯兰金融服务法》</w:t>
            </w:r>
          </w:p>
        </w:tc>
      </w:tr>
      <w:tr w14:paraId="110B845F">
        <w:trPr>
          <w:jc w:val="center"/>
        </w:trPr>
        <w:tc>
          <w:tcPr>
            <w:tcW w:w="2551" w:type="dxa"/>
          </w:tcPr>
          <w:p w14:paraId="5CFC5DF4">
            <w:pPr>
              <w:spacing w:after="0" w:line="240" w:lineRule="auto"/>
            </w:pPr>
            <w:r>
              <w:rPr>
                <w:rFonts w:ascii="Times New Roman" w:hAnsi="Times New Roman" w:eastAsia="宋体"/>
                <w:b w:val="0"/>
                <w:sz w:val="19"/>
              </w:rPr>
              <w:t>法案编号</w:t>
            </w:r>
          </w:p>
        </w:tc>
        <w:tc>
          <w:tcPr>
            <w:tcW w:w="7087" w:type="dxa"/>
          </w:tcPr>
          <w:p w14:paraId="292A4724">
            <w:pPr>
              <w:spacing w:after="0" w:line="240" w:lineRule="auto"/>
            </w:pPr>
            <w:r>
              <w:rPr>
                <w:rFonts w:ascii="Times New Roman" w:hAnsi="Times New Roman" w:eastAsia="宋体"/>
                <w:b w:val="0"/>
                <w:sz w:val="19"/>
              </w:rPr>
              <w:t>Act 759（马来西亚联邦法律第 759 号法）</w:t>
            </w:r>
          </w:p>
        </w:tc>
      </w:tr>
      <w:tr w14:paraId="74E74EF1">
        <w:trPr>
          <w:jc w:val="center"/>
        </w:trPr>
        <w:tc>
          <w:tcPr>
            <w:tcW w:w="2551" w:type="dxa"/>
          </w:tcPr>
          <w:p w14:paraId="25B9DBB5">
            <w:pPr>
              <w:spacing w:after="0" w:line="240" w:lineRule="auto"/>
            </w:pPr>
            <w:r>
              <w:rPr>
                <w:rFonts w:ascii="Times New Roman" w:hAnsi="Times New Roman" w:eastAsia="宋体"/>
                <w:b w:val="0"/>
                <w:sz w:val="19"/>
              </w:rPr>
              <w:t>御准日期（Royal Assent）</w:t>
            </w:r>
          </w:p>
        </w:tc>
        <w:tc>
          <w:tcPr>
            <w:tcW w:w="7087" w:type="dxa"/>
          </w:tcPr>
          <w:p w14:paraId="0D0C0BE3">
            <w:pPr>
              <w:spacing w:after="0" w:line="240" w:lineRule="auto"/>
            </w:pPr>
            <w:r>
              <w:rPr>
                <w:rFonts w:ascii="Times New Roman" w:hAnsi="Times New Roman" w:eastAsia="宋体"/>
                <w:b w:val="0"/>
                <w:sz w:val="19"/>
              </w:rPr>
              <w:t>2013年3月18日</w:t>
            </w:r>
          </w:p>
        </w:tc>
      </w:tr>
      <w:tr w14:paraId="300A7E76">
        <w:trPr>
          <w:jc w:val="center"/>
        </w:trPr>
        <w:tc>
          <w:tcPr>
            <w:tcW w:w="2551" w:type="dxa"/>
          </w:tcPr>
          <w:p w14:paraId="48FEC21B">
            <w:pPr>
              <w:spacing w:after="0" w:line="240" w:lineRule="auto"/>
            </w:pPr>
            <w:r>
              <w:rPr>
                <w:rFonts w:ascii="Times New Roman" w:hAnsi="Times New Roman" w:eastAsia="宋体"/>
                <w:b w:val="0"/>
                <w:sz w:val="19"/>
              </w:rPr>
              <w:t>公报日期（Gazetted/Published）</w:t>
            </w:r>
          </w:p>
        </w:tc>
        <w:tc>
          <w:tcPr>
            <w:tcW w:w="7087" w:type="dxa"/>
          </w:tcPr>
          <w:p w14:paraId="15060BB4">
            <w:pPr>
              <w:spacing w:after="0" w:line="240" w:lineRule="auto"/>
            </w:pPr>
            <w:r>
              <w:rPr>
                <w:rFonts w:ascii="Times New Roman" w:hAnsi="Times New Roman" w:eastAsia="宋体"/>
                <w:b w:val="0"/>
                <w:sz w:val="19"/>
              </w:rPr>
              <w:t>2013年3月22日</w:t>
            </w:r>
          </w:p>
        </w:tc>
      </w:tr>
      <w:tr w14:paraId="6597ABBB">
        <w:trPr>
          <w:jc w:val="center"/>
        </w:trPr>
        <w:tc>
          <w:tcPr>
            <w:tcW w:w="2551" w:type="dxa"/>
          </w:tcPr>
          <w:p w14:paraId="630D1FC3">
            <w:pPr>
              <w:spacing w:after="0" w:line="240" w:lineRule="auto"/>
            </w:pPr>
            <w:r>
              <w:rPr>
                <w:rFonts w:ascii="Times New Roman" w:hAnsi="Times New Roman" w:eastAsia="宋体"/>
                <w:b w:val="0"/>
                <w:sz w:val="19"/>
              </w:rPr>
              <w:t>生效日期（Come into force）</w:t>
            </w:r>
          </w:p>
        </w:tc>
        <w:tc>
          <w:tcPr>
            <w:tcW w:w="7087" w:type="dxa"/>
          </w:tcPr>
          <w:p w14:paraId="417D050D">
            <w:pPr>
              <w:spacing w:after="0" w:line="240" w:lineRule="auto"/>
            </w:pPr>
            <w:r>
              <w:rPr>
                <w:rFonts w:ascii="Times New Roman" w:hAnsi="Times New Roman" w:eastAsia="宋体"/>
                <w:b w:val="0"/>
                <w:sz w:val="19"/>
              </w:rPr>
              <w:t>2013年6月30日〔依据 P.U.(B) 277/2013〕</w:t>
            </w:r>
          </w:p>
        </w:tc>
      </w:tr>
      <w:tr w14:paraId="0FE72218">
        <w:trPr>
          <w:jc w:val="center"/>
        </w:trPr>
        <w:tc>
          <w:tcPr>
            <w:tcW w:w="2551" w:type="dxa"/>
          </w:tcPr>
          <w:p w14:paraId="50D10704">
            <w:pPr>
              <w:spacing w:after="0" w:line="240" w:lineRule="auto"/>
            </w:pPr>
            <w:r>
              <w:rPr>
                <w:rFonts w:ascii="Times New Roman" w:hAnsi="Times New Roman" w:eastAsia="宋体"/>
                <w:b w:val="0"/>
                <w:sz w:val="19"/>
              </w:rPr>
              <w:t>立法/主管机关</w:t>
            </w:r>
          </w:p>
        </w:tc>
        <w:tc>
          <w:tcPr>
            <w:tcW w:w="7087" w:type="dxa"/>
          </w:tcPr>
          <w:p w14:paraId="08BF8E03">
            <w:pPr>
              <w:spacing w:after="0" w:line="240" w:lineRule="auto"/>
            </w:pPr>
            <w:r>
              <w:rPr>
                <w:rFonts w:ascii="Times New Roman" w:hAnsi="Times New Roman" w:eastAsia="宋体"/>
                <w:b w:val="0"/>
                <w:sz w:val="19"/>
              </w:rPr>
              <w:t>马来西亚国会立法；马来西亚国家银行 Bank Negara Malaysia（BNM，央行）负责监管执行</w:t>
            </w:r>
          </w:p>
        </w:tc>
      </w:tr>
      <w:tr w14:paraId="696E22DC">
        <w:trPr>
          <w:jc w:val="center"/>
        </w:trPr>
        <w:tc>
          <w:tcPr>
            <w:tcW w:w="2551" w:type="dxa"/>
          </w:tcPr>
          <w:p w14:paraId="5ADBF610">
            <w:pPr>
              <w:spacing w:after="0" w:line="240" w:lineRule="auto"/>
            </w:pPr>
            <w:r>
              <w:rPr>
                <w:rFonts w:ascii="Times New Roman" w:hAnsi="Times New Roman" w:eastAsia="宋体"/>
                <w:b w:val="0"/>
                <w:sz w:val="19"/>
              </w:rPr>
              <w:t>官方文本</w:t>
            </w:r>
          </w:p>
        </w:tc>
        <w:tc>
          <w:tcPr>
            <w:tcW w:w="7087" w:type="dxa"/>
          </w:tcPr>
          <w:p w14:paraId="19D03460">
            <w:pPr>
              <w:spacing w:after="0" w:line="240" w:lineRule="auto"/>
            </w:pPr>
            <w:r>
              <w:rPr>
                <w:rFonts w:ascii="Times New Roman" w:hAnsi="Times New Roman" w:eastAsia="宋体"/>
                <w:b w:val="0"/>
                <w:sz w:val="19"/>
              </w:rPr>
              <w:t>英文（Laws of Malaysia, Act 759）；另有马来文国家语文本</w:t>
            </w:r>
          </w:p>
        </w:tc>
      </w:tr>
      <w:tr w14:paraId="60870553">
        <w:trPr>
          <w:jc w:val="center"/>
        </w:trPr>
        <w:tc>
          <w:tcPr>
            <w:tcW w:w="2551" w:type="dxa"/>
          </w:tcPr>
          <w:p w14:paraId="3B063810">
            <w:pPr>
              <w:spacing w:after="0" w:line="240" w:lineRule="auto"/>
            </w:pPr>
            <w:r>
              <w:rPr>
                <w:rFonts w:ascii="Times New Roman" w:hAnsi="Times New Roman" w:eastAsia="宋体"/>
                <w:b w:val="0"/>
                <w:sz w:val="19"/>
              </w:rPr>
              <w:t>法案定位</w:t>
            </w:r>
          </w:p>
        </w:tc>
        <w:tc>
          <w:tcPr>
            <w:tcW w:w="7087" w:type="dxa"/>
          </w:tcPr>
          <w:p w14:paraId="41875B29">
            <w:pPr>
              <w:spacing w:after="0" w:line="240" w:lineRule="auto"/>
            </w:pPr>
            <w:r>
              <w:rPr>
                <w:rFonts w:ascii="Times New Roman" w:hAnsi="Times New Roman" w:eastAsia="宋体"/>
                <w:b w:val="0"/>
                <w:sz w:val="19"/>
              </w:rPr>
              <w:t>监管伊斯兰银行、伊斯兰保险（takaful）、伊斯兰支付系统、伊斯兰货币/外汇市场的主干法律，取代了1983年《伊斯兰银行法》、1984年《Takaful法》等旧法</w:t>
            </w:r>
          </w:p>
        </w:tc>
      </w:tr>
    </w:tbl>
    <w:p w14:paraId="31029AC6">
      <w:r>
        <w:rPr>
          <w:rFonts w:ascii="Times New Roman" w:hAnsi="Times New Roman" w:eastAsia="黑体"/>
          <w:b/>
          <w:color w:val="1F3A5F"/>
          <w:sz w:val="30"/>
        </w:rPr>
        <w:t>三、官方 PDF 文件清单与官方 URL</w:t>
      </w:r>
    </w:p>
    <w:p w14:paraId="28CB43B9">
      <w:pPr>
        <w:spacing w:after="120"/>
      </w:pPr>
      <w:r>
        <w:rPr>
          <w:rFonts w:ascii="Times New Roman" w:hAnsi="Times New Roman" w:eastAsia="宋体"/>
          <w:b w:val="0"/>
          <w:i w:val="0"/>
          <w:sz w:val="21"/>
        </w:rPr>
        <w:t>下列两个 PDF 已随本记录一并交付（本地文件）。URL 为马来西亚联邦法律官网（AGC）原始下载地址，可直接复核或重新下载。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1895"/>
        <w:gridCol w:w="4626"/>
      </w:tblGrid>
      <w:tr w14:paraId="2D74F8EB">
        <w:trPr>
          <w:jc w:val="center"/>
        </w:trPr>
        <w:tc>
          <w:tcPr>
            <w:tcW w:w="2335" w:type="dxa"/>
            <w:shd w:val="clear" w:color="auto" w:fill="1F3A5F"/>
          </w:tcPr>
          <w:p w14:paraId="511AC863">
            <w:pPr>
              <w:spacing w:after="0" w:line="240" w:lineRule="auto"/>
            </w:pPr>
            <w:r>
              <w:rPr>
                <w:rFonts w:ascii="Times New Roman" w:hAnsi="Times New Roman" w:eastAsia="黑体"/>
                <w:b/>
                <w:color w:val="FFFFFF"/>
                <w:sz w:val="19"/>
              </w:rPr>
              <w:t>本地文件名</w:t>
            </w:r>
          </w:p>
        </w:tc>
        <w:tc>
          <w:tcPr>
            <w:tcW w:w="1895" w:type="dxa"/>
            <w:shd w:val="clear" w:color="auto" w:fill="1F3A5F"/>
          </w:tcPr>
          <w:p w14:paraId="702C8363">
            <w:pPr>
              <w:spacing w:after="0" w:line="240" w:lineRule="auto"/>
            </w:pPr>
            <w:r>
              <w:rPr>
                <w:rFonts w:ascii="Times New Roman" w:hAnsi="Times New Roman" w:eastAsia="黑体"/>
                <w:b/>
                <w:color w:val="FFFFFF"/>
                <w:sz w:val="19"/>
              </w:rPr>
              <w:t>版本 / 页数</w:t>
            </w:r>
          </w:p>
        </w:tc>
        <w:tc>
          <w:tcPr>
            <w:tcW w:w="4626" w:type="dxa"/>
            <w:shd w:val="clear" w:color="auto" w:fill="1F3A5F"/>
          </w:tcPr>
          <w:p w14:paraId="7A6DDDD2">
            <w:pPr>
              <w:spacing w:after="0" w:line="240" w:lineRule="auto"/>
            </w:pPr>
            <w:r>
              <w:rPr>
                <w:rFonts w:ascii="Times New Roman" w:hAnsi="Times New Roman" w:eastAsia="黑体"/>
                <w:b/>
                <w:color w:val="FFFFFF"/>
                <w:sz w:val="19"/>
              </w:rPr>
              <w:t>官方 URL（AGC 联邦法律官网）</w:t>
            </w:r>
          </w:p>
        </w:tc>
      </w:tr>
      <w:tr w14:paraId="7427BE3B">
        <w:trPr>
          <w:jc w:val="center"/>
        </w:trPr>
        <w:tc>
          <w:tcPr>
            <w:tcW w:w="2335" w:type="dxa"/>
          </w:tcPr>
          <w:p w14:paraId="57C1A2B2">
            <w:pPr>
              <w:spacing w:after="0" w:line="240" w:lineRule="auto"/>
            </w:pPr>
            <w:r>
              <w:rPr>
                <w:rFonts w:ascii="Times New Roman" w:hAnsi="Times New Roman" w:eastAsia="宋体"/>
                <w:b w:val="0"/>
                <w:sz w:val="19"/>
              </w:rPr>
              <w:t>IFSA2013_Act759_AGC_2013original.pdf</w:t>
            </w:r>
          </w:p>
        </w:tc>
        <w:tc>
          <w:tcPr>
            <w:tcW w:w="1895" w:type="dxa"/>
          </w:tcPr>
          <w:p w14:paraId="6BD90382">
            <w:pPr>
              <w:spacing w:after="0" w:line="240" w:lineRule="auto"/>
            </w:pPr>
            <w:r>
              <w:rPr>
                <w:rFonts w:ascii="Times New Roman" w:hAnsi="Times New Roman" w:eastAsia="宋体"/>
                <w:b w:val="0"/>
                <w:sz w:val="19"/>
              </w:rPr>
              <w:t>2013年原始合订本，276页（含2013年立法时全文）</w:t>
            </w:r>
          </w:p>
        </w:tc>
        <w:tc>
          <w:tcPr>
            <w:tcW w:w="4626" w:type="dxa"/>
          </w:tcPr>
          <w:p w14:paraId="66C138C0">
            <w:pPr>
              <w:spacing w:after="0" w:line="240" w:lineRule="auto"/>
            </w:pPr>
            <w:r>
              <w:rPr>
                <w:rFonts w:ascii="Times New Roman" w:hAnsi="Times New Roman" w:eastAsia="宋体"/>
                <w:b w:val="0"/>
                <w:sz w:val="19"/>
              </w:rPr>
              <w:t>https://lom.agc.gov.my/ilims/upload/portal/akta/outputaktap/20130322_759_BI_Combined.pdf</w:t>
            </w:r>
          </w:p>
        </w:tc>
      </w:tr>
      <w:tr w14:paraId="20BF9D5C">
        <w:trPr>
          <w:jc w:val="center"/>
        </w:trPr>
        <w:tc>
          <w:tcPr>
            <w:tcW w:w="2335" w:type="dxa"/>
          </w:tcPr>
          <w:p w14:paraId="46E2A860">
            <w:pPr>
              <w:spacing w:after="0" w:line="240" w:lineRule="auto"/>
            </w:pPr>
            <w:r>
              <w:rPr>
                <w:rFonts w:ascii="Times New Roman" w:hAnsi="Times New Roman" w:eastAsia="宋体"/>
                <w:b w:val="0"/>
                <w:sz w:val="19"/>
              </w:rPr>
              <w:t>IFSA2013_Act759_AGC_revised2021.pdf</w:t>
            </w:r>
          </w:p>
        </w:tc>
        <w:tc>
          <w:tcPr>
            <w:tcW w:w="1895" w:type="dxa"/>
          </w:tcPr>
          <w:p w14:paraId="491DF45B">
            <w:pPr>
              <w:spacing w:after="0" w:line="240" w:lineRule="auto"/>
            </w:pPr>
            <w:r>
              <w:rPr>
                <w:rFonts w:ascii="Times New Roman" w:hAnsi="Times New Roman" w:eastAsia="宋体"/>
                <w:b w:val="0"/>
                <w:sz w:val="19"/>
              </w:rPr>
              <w:t>现行更新重印本（As at 11 February 2021），309页，含截至2021年的修订，建议数据采集以此版为准</w:t>
            </w:r>
          </w:p>
        </w:tc>
        <w:tc>
          <w:tcPr>
            <w:tcW w:w="4626" w:type="dxa"/>
          </w:tcPr>
          <w:p w14:paraId="78EEAD0E">
            <w:pPr>
              <w:spacing w:after="0" w:line="240" w:lineRule="auto"/>
            </w:pPr>
            <w:r>
              <w:rPr>
                <w:rFonts w:ascii="Times New Roman" w:hAnsi="Times New Roman" w:eastAsia="宋体"/>
                <w:b w:val="0"/>
                <w:sz w:val="19"/>
              </w:rPr>
              <w:t>https://lom.agc.gov.my/ilims/upload/portal/akta/outputaktap/1691495_BI/11022021%20</w:t>
            </w:r>
            <w:bookmarkStart w:id="0" w:name="_GoBack"/>
            <w:bookmarkEnd w:id="0"/>
            <w:r>
              <w:rPr>
                <w:rFonts w:ascii="Times New Roman" w:hAnsi="Times New Roman" w:eastAsia="宋体"/>
                <w:b w:val="0"/>
                <w:sz w:val="19"/>
              </w:rPr>
              <w:t>ACT%20759%20final.pdf</w:t>
            </w:r>
          </w:p>
        </w:tc>
      </w:tr>
    </w:tbl>
    <w:p w14:paraId="41AEB6FC">
      <w:pPr>
        <w:spacing w:after="40"/>
      </w:pPr>
      <w:r>
        <w:rPr>
          <w:rFonts w:ascii="Times New Roman" w:hAnsi="Times New Roman" w:eastAsia="宋体"/>
          <w:b/>
          <w:i w:val="0"/>
          <w:sz w:val="21"/>
        </w:rPr>
        <w:t>其他官方页面 URL（用于交叉核对）：</w:t>
      </w:r>
    </w:p>
    <w:p w14:paraId="1E4B6353">
      <w:pPr>
        <w:pStyle w:val="16"/>
      </w:pPr>
      <w:r>
        <w:rPr>
          <w:rFonts w:ascii="Times New Roman" w:hAnsi="Times New Roman" w:eastAsia="宋体"/>
          <w:b w:val="0"/>
          <w:sz w:val="21"/>
        </w:rPr>
        <w:t>AGC 联邦法律官网（Laws of Malaysia 门户）首页：https://lom.agc.gov.my/</w:t>
      </w:r>
    </w:p>
    <w:p w14:paraId="39CBC935">
      <w:pPr>
        <w:pStyle w:val="16"/>
      </w:pPr>
      <w:r>
        <w:rPr>
          <w:rFonts w:ascii="Times New Roman" w:hAnsi="Times New Roman" w:eastAsia="宋体"/>
          <w:b w:val="0"/>
          <w:sz w:val="21"/>
        </w:rPr>
        <w:t>BNM 立法专页（列有 IFSA 2013 介绍、生效日期与下载入口）：https://www.bnm.gov.my/en/legislation</w:t>
      </w:r>
    </w:p>
    <w:p w14:paraId="135D8BE1">
      <w:pPr>
        <w:pStyle w:val="16"/>
      </w:pPr>
      <w:r>
        <w:rPr>
          <w:rFonts w:ascii="Times New Roman" w:hAnsi="Times New Roman" w:eastAsia="宋体"/>
          <w:b w:val="0"/>
          <w:sz w:val="21"/>
        </w:rPr>
        <w:t>BNM 新闻稿《FSA 2013 与 IFSA 2013 于2013年6月30日生效》：https://www.bnm.gov.my/-/financial-services-act-2013-and-islamic-financial-services-act-2013-come-into-force</w:t>
      </w:r>
    </w:p>
    <w:p w14:paraId="6EC00F18">
      <w:pPr>
        <w:spacing w:after="80"/>
      </w:pPr>
      <w:r>
        <w:rPr>
          <w:rFonts w:ascii="Times New Roman" w:hAnsi="Times New Roman" w:eastAsia="宋体"/>
          <w:b w:val="0"/>
          <w:i/>
          <w:color w:val="666666"/>
          <w:sz w:val="18"/>
        </w:rPr>
        <w:t>说明：本次检索环境直连 bnm.gov.my 下载文件时网络被重置（BNM 站点对本机出口连接不稳定），故 IFSA 官方 PDF 采用 AGC 联邦法律官网版本（同为官方权威来源，且即用户所说“马来西亚联邦法律官网”）；BNM 页面内容已通过其官网在线核读。</w:t>
      </w:r>
    </w:p>
    <w:p w14:paraId="5A2C866A">
      <w:r>
        <w:rPr>
          <w:rFonts w:ascii="Times New Roman" w:hAnsi="Times New Roman" w:eastAsia="黑体"/>
          <w:b/>
          <w:color w:val="1F3A5F"/>
          <w:sz w:val="30"/>
        </w:rPr>
        <w:t>四、IFSA 是如何“禁止 riba/利息”的（法律逻辑链）</w:t>
      </w:r>
    </w:p>
    <w:p w14:paraId="5228EFD1">
      <w:pPr>
        <w:spacing w:after="80"/>
      </w:pPr>
      <w:r>
        <w:rPr>
          <w:rFonts w:ascii="Times New Roman" w:hAnsi="Times New Roman" w:eastAsia="宋体"/>
          <w:b w:val="0"/>
          <w:i w:val="0"/>
          <w:sz w:val="21"/>
        </w:rPr>
        <w:t>IFSA 不直接写“riba”三字，而是用下面这条闭环实现全面禁止，采集时建议按此链条记录：</w:t>
      </w:r>
    </w:p>
    <w:p w14:paraId="3CD4BCD7">
      <w:pPr>
        <w:pStyle w:val="16"/>
      </w:pPr>
      <w:r>
        <w:rPr>
          <w:rFonts w:ascii="Times New Roman" w:hAnsi="Times New Roman" w:eastAsia="宋体"/>
          <w:b w:val="0"/>
          <w:sz w:val="21"/>
        </w:rPr>
        <w:t>IFSA 第 28(1) 条：伊斯兰金融机构必须“始终（at all times）”确保其目标、运营、业务、事务、活动全部符合 Shariah。</w:t>
      </w:r>
    </w:p>
    <w:p w14:paraId="0A98B55C">
      <w:pPr>
        <w:pStyle w:val="16"/>
      </w:pPr>
      <w:r>
        <w:rPr>
          <w:rFonts w:ascii="Times New Roman" w:hAnsi="Times New Roman" w:eastAsia="宋体"/>
          <w:b w:val="0"/>
          <w:sz w:val="21"/>
        </w:rPr>
        <w:t>IFSA 第 28(2) 条：符合 BNM 沙里亚咨询理事会（SAC）裁决的，法律上直接“视为（deemed）”符合 Shariah。</w:t>
      </w:r>
    </w:p>
    <w:p w14:paraId="1D2540E6">
      <w:pPr>
        <w:pStyle w:val="16"/>
      </w:pPr>
      <w:r>
        <w:rPr>
          <w:rFonts w:ascii="Times New Roman" w:hAnsi="Times New Roman" w:eastAsia="宋体"/>
          <w:b w:val="0"/>
          <w:sz w:val="21"/>
        </w:rPr>
        <w:t>SAC 依据《2009年马来西亚中央银行法》（Central Bank of Malaysia Act 2009, Act 701）第 51 条设立，是马来西亚伊斯兰金融的“最高沙里亚权威”；法院或仲裁遇到沙里亚问题也须提交 SAC（BNM 官网：https://www.bnm.gov.my/committees/sac）。</w:t>
      </w:r>
    </w:p>
    <w:p w14:paraId="4D70B8B5">
      <w:pPr>
        <w:pStyle w:val="16"/>
      </w:pPr>
      <w:r>
        <w:rPr>
          <w:rFonts w:ascii="Times New Roman" w:hAnsi="Times New Roman" w:eastAsia="宋体"/>
          <w:b w:val="0"/>
          <w:sz w:val="21"/>
        </w:rPr>
        <w:t>SAC 的官方裁决明确：利息（interest）就是 riba，为 Shariah 所禁止（原文见第六部分）。于是“符合 Shariah”＝“不得收取/支付 riba（利息）”，第 28 条的强制义务与罚则就落到了 riba 上。</w:t>
      </w:r>
    </w:p>
    <w:p w14:paraId="54F20694">
      <w:pPr>
        <w:pStyle w:val="16"/>
      </w:pPr>
      <w:r>
        <w:rPr>
          <w:rFonts w:ascii="Times New Roman" w:hAnsi="Times New Roman" w:eastAsia="宋体"/>
          <w:b w:val="0"/>
          <w:sz w:val="21"/>
        </w:rPr>
        <w:t>一旦业务被发现含 riba 等违禁元素：第 28(3) 条要求立即报告央行、立即停止业务、30 天内提交整改方案；第 168(2)(a)(v) 条还允许央行命令机构把违规所得（含 riba 收入）从账面上“剔除、不予确认（derecognize）”。</w:t>
      </w:r>
    </w:p>
    <w:p w14:paraId="40E92A15">
      <w:r>
        <w:rPr>
          <w:rFonts w:ascii="Times New Roman" w:hAnsi="Times New Roman" w:eastAsia="黑体"/>
          <w:b/>
          <w:color w:val="1F3A5F"/>
          <w:sz w:val="30"/>
        </w:rPr>
        <w:t>五、riba / 利息禁止相关条款逐条记录（核心）</w:t>
      </w:r>
    </w:p>
    <w:p w14:paraId="66F8A4CC">
      <w:pPr>
        <w:spacing w:after="120"/>
      </w:pPr>
      <w:r>
        <w:rPr>
          <w:rFonts w:ascii="Times New Roman" w:hAnsi="Times New Roman" w:eastAsia="宋体"/>
          <w:b w:val="0"/>
          <w:i/>
          <w:color w:val="666666"/>
          <w:sz w:val="18"/>
        </w:rPr>
        <w:t>页码以“现行2021合订版 / 2013原始版”标注（该官方PDF的阅读器页码与纸面印刷页码一致）。英文原文逐字摘自上述官方 PDF，中文为便于理解的白话译文，正式引用以英文原文为准。</w:t>
      </w:r>
    </w:p>
    <w:p w14:paraId="1F268394">
      <w:r>
        <w:rPr>
          <w:rFonts w:ascii="Times New Roman" w:hAnsi="Times New Roman" w:eastAsia="黑体"/>
          <w:b/>
          <w:color w:val="1F3A5F"/>
          <w:sz w:val="22"/>
        </w:rPr>
        <w:t>第 28 条 Section 28　Duty of institution to ensure compliance with Shariah（机构确保符合沙里亚的义务【最核心】）</w:t>
      </w:r>
    </w:p>
    <w:p w14:paraId="5D058D59">
      <w:pPr>
        <w:spacing w:after="40"/>
      </w:pPr>
      <w:r>
        <w:rPr>
          <w:rFonts w:ascii="Times New Roman" w:hAnsi="Times New Roman" w:eastAsia="宋体"/>
          <w:b/>
          <w:i w:val="0"/>
          <w:color w:val="1F3A5F"/>
          <w:sz w:val="19"/>
        </w:rPr>
        <w:t>位置：2021版 第67–68页　/　2013原版 第60页（Part IV “Shariah Requirements 沙里亚要求”，Division 1）</w:t>
      </w:r>
    </w:p>
    <w:p w14:paraId="6EED0802">
      <w:pPr>
        <w:spacing w:after="20"/>
      </w:pPr>
      <w:r>
        <w:rPr>
          <w:rFonts w:ascii="Times New Roman" w:hAnsi="Times New Roman" w:eastAsia="宋体"/>
          <w:b/>
          <w:i w:val="0"/>
          <w:sz w:val="19"/>
        </w:rPr>
        <w:t>英文原文（节录）：</w:t>
      </w:r>
    </w:p>
    <w:p w14:paraId="24F08B9E">
      <w:pPr>
        <w:spacing w:after="60"/>
        <w:ind w:left="454"/>
      </w:pPr>
      <w:r>
        <w:rPr>
          <w:rFonts w:ascii="Times New Roman" w:hAnsi="Times New Roman" w:eastAsia="宋体"/>
          <w:b w:val="0"/>
          <w:i/>
          <w:color w:val="333333"/>
          <w:sz w:val="19"/>
        </w:rPr>
        <w:t>(1) An institution shall at all times ensure that its aims and operations, business, affairs and activities are in compliance with Shariah.</w:t>
      </w:r>
    </w:p>
    <w:p w14:paraId="60176B10">
      <w:pPr>
        <w:spacing w:after="60"/>
        <w:ind w:left="454"/>
      </w:pPr>
      <w:r>
        <w:rPr>
          <w:rFonts w:ascii="Times New Roman" w:hAnsi="Times New Roman" w:eastAsia="宋体"/>
          <w:b w:val="0"/>
          <w:i/>
          <w:color w:val="333333"/>
          <w:sz w:val="19"/>
        </w:rPr>
        <w:t>(2) For the purposes of this Act, a compliance with any ruling of the Shariah Advisory Council in respect of any particular aim and operation, business, affair or activity shall be deemed to be a compliance with Shariah ...</w:t>
      </w:r>
    </w:p>
    <w:p w14:paraId="36B5EB97">
      <w:pPr>
        <w:spacing w:after="60"/>
        <w:ind w:left="454"/>
      </w:pPr>
      <w:r>
        <w:rPr>
          <w:rFonts w:ascii="Times New Roman" w:hAnsi="Times New Roman" w:eastAsia="宋体"/>
          <w:b w:val="0"/>
          <w:i/>
          <w:color w:val="333333"/>
          <w:sz w:val="19"/>
        </w:rPr>
        <w:t>(3) Where an institution becomes aware that it is carrying on any of its business, affair or activity in a manner which is not in compliance with Shariah or the advice of its Shariah committee or the advice or ruling of the Shariah Advisory Council, the institution shall— (a) immediately notify the Bank and its Shariah committee of the fact; (b) immediately cease from carrying on such business, affair or activity ...; and (c) within thirty days ... submit to the Bank a plan on the rectification of the non-compliance.</w:t>
      </w:r>
    </w:p>
    <w:p w14:paraId="6467103F">
      <w:pPr>
        <w:spacing w:after="60"/>
        <w:ind w:left="454"/>
      </w:pPr>
      <w:r>
        <w:rPr>
          <w:rFonts w:ascii="Times New Roman" w:hAnsi="Times New Roman" w:eastAsia="宋体"/>
          <w:b w:val="0"/>
          <w:i/>
          <w:color w:val="333333"/>
          <w:sz w:val="19"/>
        </w:rPr>
        <w:t>(5) Any person who contravenes subsection (1) or (3) commits an offence and shall, on conviction, be liable to imprisonment for a term not exceeding eight years or to a fine not exceeding twenty-five million ringgit or to both.</w:t>
      </w:r>
    </w:p>
    <w:p w14:paraId="282C37CF">
      <w:pPr>
        <w:spacing w:after="20"/>
      </w:pPr>
      <w:r>
        <w:rPr>
          <w:rFonts w:ascii="Times New Roman" w:hAnsi="Times New Roman" w:eastAsia="宋体"/>
          <w:b/>
          <w:i w:val="0"/>
          <w:sz w:val="19"/>
        </w:rPr>
        <w:t>中文白话译文：</w:t>
      </w:r>
    </w:p>
    <w:p w14:paraId="4F45D3E4">
      <w:pPr>
        <w:spacing w:after="20"/>
        <w:ind w:left="340"/>
      </w:pPr>
      <w:r>
        <w:rPr>
          <w:rFonts w:ascii="Times New Roman" w:hAnsi="Times New Roman" w:eastAsia="宋体"/>
          <w:b w:val="0"/>
          <w:i w:val="0"/>
          <w:sz w:val="19"/>
        </w:rPr>
        <w:t>(1) 机构必须在任何时候都确保其经营目标、业务、事务与活动符合沙里亚。</w:t>
      </w:r>
    </w:p>
    <w:p w14:paraId="0284A5DA">
      <w:pPr>
        <w:spacing w:after="20"/>
        <w:ind w:left="340"/>
      </w:pPr>
      <w:r>
        <w:rPr>
          <w:rFonts w:ascii="Times New Roman" w:hAnsi="Times New Roman" w:eastAsia="宋体"/>
          <w:b w:val="0"/>
          <w:i w:val="0"/>
          <w:sz w:val="19"/>
        </w:rPr>
        <w:t>(2) 就本法而言，在某一业务/活动上遵守了沙里亚咨询理事会（SAC）的裁决，即被视为符合沙里亚。</w:t>
      </w:r>
    </w:p>
    <w:p w14:paraId="0517A1F3">
      <w:pPr>
        <w:spacing w:after="20"/>
        <w:ind w:left="340"/>
      </w:pPr>
      <w:r>
        <w:rPr>
          <w:rFonts w:ascii="Times New Roman" w:hAnsi="Times New Roman" w:eastAsia="宋体"/>
          <w:b w:val="0"/>
          <w:i w:val="0"/>
          <w:sz w:val="19"/>
        </w:rPr>
        <w:t>(3) 机构一旦发现自己某项业务不符合沙里亚（即含有 riba 等违禁元素），必须：(a) 立即报告央行和自身沙里亚委员会；(b) 立即停止该项业务及任何类似业务；(c) 30天内（或央行准许的更长期限内）向央行提交整改计划。</w:t>
      </w:r>
    </w:p>
    <w:p w14:paraId="1667ED68">
      <w:pPr>
        <w:spacing w:after="20"/>
        <w:ind w:left="340"/>
      </w:pPr>
      <w:r>
        <w:rPr>
          <w:rFonts w:ascii="Times New Roman" w:hAnsi="Times New Roman" w:eastAsia="宋体"/>
          <w:b w:val="0"/>
          <w:i w:val="0"/>
          <w:sz w:val="19"/>
        </w:rPr>
        <w:t>(5) 违反第(1)或(3)款即构成犯罪，定罪后可处最高 8 年监禁，或最高 2500 万林吉特罚款，或两者并罚。</w:t>
      </w:r>
    </w:p>
    <w:p w14:paraId="7FB94562">
      <w:pPr>
        <w:ind w:left="340"/>
      </w:pPr>
      <w:r>
        <w:rPr>
          <w:rFonts w:ascii="Times New Roman" w:hAnsi="Times New Roman" w:eastAsia="宋体"/>
          <w:b/>
          <w:color w:val="993300"/>
          <w:sz w:val="19"/>
        </w:rPr>
        <w:t>罚则/后果：</w:t>
      </w:r>
      <w:r>
        <w:rPr>
          <w:rFonts w:ascii="Times New Roman" w:hAnsi="Times New Roman" w:eastAsia="宋体"/>
          <w:b w:val="0"/>
          <w:color w:val="993300"/>
          <w:sz w:val="19"/>
        </w:rPr>
        <w:t>违反沙里亚合规义务（含收取 riba）：最高监禁8年 / 罚款2500万林吉特 / 两者并罚；业务须立即停止并整改。</w:t>
      </w:r>
    </w:p>
    <w:p w14:paraId="4CB6704B">
      <w:pPr>
        <w:spacing w:after="160"/>
        <w:ind w:left="340"/>
      </w:pPr>
      <w:r>
        <w:rPr>
          <w:rFonts w:ascii="Times New Roman" w:hAnsi="Times New Roman" w:eastAsia="宋体"/>
          <w:b/>
          <w:sz w:val="19"/>
        </w:rPr>
        <w:t>与 riba 禁止的关系：</w:t>
      </w:r>
      <w:r>
        <w:rPr>
          <w:rFonts w:ascii="Times New Roman" w:hAnsi="Times New Roman" w:eastAsia="宋体"/>
          <w:b w:val="0"/>
          <w:sz w:val="19"/>
        </w:rPr>
        <w:t>这是 IFSA 禁止 riba 的“总闸门”：riba 属沙里亚禁止事项，故第28(1)条的强制合规义务直接覆盖“不得收取利息”；第28(2)条把判断权交给 SAC。</w:t>
      </w:r>
    </w:p>
    <w:p w14:paraId="09A3F945">
      <w:r>
        <w:rPr>
          <w:rFonts w:ascii="Times New Roman" w:hAnsi="Times New Roman" w:eastAsia="黑体"/>
          <w:b/>
          <w:color w:val="1F3A5F"/>
          <w:sz w:val="22"/>
        </w:rPr>
        <w:t>第 29 条 Section 29　Power of Bank to specify standards on Shariah matters（央行就沙里亚事项制定标准的权力）</w:t>
      </w:r>
    </w:p>
    <w:p w14:paraId="6C52E77A">
      <w:pPr>
        <w:spacing w:after="40"/>
      </w:pPr>
      <w:r>
        <w:rPr>
          <w:rFonts w:ascii="Times New Roman" w:hAnsi="Times New Roman" w:eastAsia="宋体"/>
          <w:b/>
          <w:i w:val="0"/>
          <w:color w:val="1F3A5F"/>
          <w:sz w:val="19"/>
        </w:rPr>
        <w:t>位置：2021版 第68–69页　/　2013原版 第61页</w:t>
      </w:r>
    </w:p>
    <w:p w14:paraId="6F3DE5ED">
      <w:pPr>
        <w:spacing w:after="20"/>
      </w:pPr>
      <w:r>
        <w:rPr>
          <w:rFonts w:ascii="Times New Roman" w:hAnsi="Times New Roman" w:eastAsia="宋体"/>
          <w:b/>
          <w:i w:val="0"/>
          <w:sz w:val="19"/>
        </w:rPr>
        <w:t>英文原文（节录）：</w:t>
      </w:r>
    </w:p>
    <w:p w14:paraId="4A97CA01">
      <w:pPr>
        <w:spacing w:after="60"/>
        <w:ind w:left="454"/>
      </w:pPr>
      <w:r>
        <w:rPr>
          <w:rFonts w:ascii="Times New Roman" w:hAnsi="Times New Roman" w:eastAsia="宋体"/>
          <w:b w:val="0"/>
          <w:i/>
          <w:color w:val="333333"/>
          <w:sz w:val="19"/>
        </w:rPr>
        <w:t>(1) The Bank may, in accordance with the advice or ruling of the Shariah Advisory Council, specify standards— (a) on Shariah matters ...; and (b) to give effect to the advice or rulings of the Shariah Advisory Council.</w:t>
      </w:r>
    </w:p>
    <w:p w14:paraId="4B66FE1E">
      <w:pPr>
        <w:spacing w:after="60"/>
        <w:ind w:left="454"/>
      </w:pPr>
      <w:r>
        <w:rPr>
          <w:rFonts w:ascii="Times New Roman" w:hAnsi="Times New Roman" w:eastAsia="宋体"/>
          <w:b w:val="0"/>
          <w:i/>
          <w:color w:val="333333"/>
          <w:sz w:val="19"/>
        </w:rPr>
        <w:t>(4) Every institution shall at all times— ... (b) whether or not standards have been specified by the Bank ..., manage its business, affairs and activities in a manner which is not contrary to Shariah.</w:t>
      </w:r>
    </w:p>
    <w:p w14:paraId="5C36745C">
      <w:pPr>
        <w:spacing w:after="60"/>
        <w:ind w:left="454"/>
      </w:pPr>
      <w:r>
        <w:rPr>
          <w:rFonts w:ascii="Times New Roman" w:hAnsi="Times New Roman" w:eastAsia="宋体"/>
          <w:b w:val="0"/>
          <w:i/>
          <w:color w:val="333333"/>
          <w:sz w:val="19"/>
        </w:rPr>
        <w:t>(6) Any person who fails to comply with any standards specified under subsection (1), commits an offence and shall, on conviction, be liable to imprisonment for a term not exceeding eight years or to a fine not exceeding twenty-five million ringgit or to both.</w:t>
      </w:r>
    </w:p>
    <w:p w14:paraId="5EC8B404">
      <w:pPr>
        <w:spacing w:after="20"/>
      </w:pPr>
      <w:r>
        <w:rPr>
          <w:rFonts w:ascii="Times New Roman" w:hAnsi="Times New Roman" w:eastAsia="宋体"/>
          <w:b/>
          <w:i w:val="0"/>
          <w:sz w:val="19"/>
        </w:rPr>
        <w:t>中文白话译文：</w:t>
      </w:r>
    </w:p>
    <w:p w14:paraId="57E85A42">
      <w:pPr>
        <w:spacing w:after="20"/>
        <w:ind w:left="340"/>
      </w:pPr>
      <w:r>
        <w:rPr>
          <w:rFonts w:ascii="Times New Roman" w:hAnsi="Times New Roman" w:eastAsia="宋体"/>
          <w:b w:val="0"/>
          <w:i w:val="0"/>
          <w:sz w:val="19"/>
        </w:rPr>
        <w:t>(1) 央行可依据 SAC 的意见或裁决，就沙里亚事项制定强制性标准，把 SAC 裁决落到具体业务规则上。</w:t>
      </w:r>
    </w:p>
    <w:p w14:paraId="2C914EDC">
      <w:pPr>
        <w:spacing w:after="20"/>
        <w:ind w:left="340"/>
      </w:pPr>
      <w:r>
        <w:rPr>
          <w:rFonts w:ascii="Times New Roman" w:hAnsi="Times New Roman" w:eastAsia="宋体"/>
          <w:b w:val="0"/>
          <w:i w:val="0"/>
          <w:sz w:val="19"/>
        </w:rPr>
        <w:t>(4)(b) 无论央行是否已出台具体标准，机构都必须始终以“不违背沙里亚（not contrary to Shariah）”的方式经营。</w:t>
      </w:r>
    </w:p>
    <w:p w14:paraId="62C7332A">
      <w:pPr>
        <w:spacing w:after="20"/>
        <w:ind w:left="340"/>
      </w:pPr>
      <w:r>
        <w:rPr>
          <w:rFonts w:ascii="Times New Roman" w:hAnsi="Times New Roman" w:eastAsia="宋体"/>
          <w:b w:val="0"/>
          <w:i w:val="0"/>
          <w:sz w:val="19"/>
        </w:rPr>
        <w:t>(6) 不遵守依第(1)款制定的标准即构成犯罪，最高 8 年监禁或 2500 万林吉特罚款，或两者并罚。</w:t>
      </w:r>
    </w:p>
    <w:p w14:paraId="12A89AC3">
      <w:pPr>
        <w:ind w:left="340"/>
      </w:pPr>
      <w:r>
        <w:rPr>
          <w:rFonts w:ascii="Times New Roman" w:hAnsi="Times New Roman" w:eastAsia="宋体"/>
          <w:b/>
          <w:color w:val="993300"/>
          <w:sz w:val="19"/>
        </w:rPr>
        <w:t>罚则/后果：</w:t>
      </w:r>
      <w:r>
        <w:rPr>
          <w:rFonts w:ascii="Times New Roman" w:hAnsi="Times New Roman" w:eastAsia="宋体"/>
          <w:b w:val="0"/>
          <w:color w:val="993300"/>
          <w:sz w:val="19"/>
        </w:rPr>
        <w:t>违反央行沙里亚强制标准：最高监禁8年 / 罚款2500万林吉特。</w:t>
      </w:r>
    </w:p>
    <w:p w14:paraId="5608534D">
      <w:pPr>
        <w:spacing w:after="160"/>
        <w:ind w:left="340"/>
      </w:pPr>
      <w:r>
        <w:rPr>
          <w:rFonts w:ascii="Times New Roman" w:hAnsi="Times New Roman" w:eastAsia="宋体"/>
          <w:b/>
          <w:sz w:val="19"/>
        </w:rPr>
        <w:t>与 riba 禁止的关系：</w:t>
      </w:r>
      <w:r>
        <w:rPr>
          <w:rFonts w:ascii="Times New Roman" w:hAnsi="Times New Roman" w:eastAsia="宋体"/>
          <w:b w:val="0"/>
          <w:sz w:val="19"/>
        </w:rPr>
        <w:t>“not contrary to Shariah（不得违背沙里亚）”是兜底义务，意味着即便没有细则，机构也不得从事含 riba 的安排；具体反 riba 规则由央行据 SAC 裁决以标准形式发布。</w:t>
      </w:r>
    </w:p>
    <w:p w14:paraId="1921C6AC">
      <w:r>
        <w:rPr>
          <w:rFonts w:ascii="Times New Roman" w:hAnsi="Times New Roman" w:eastAsia="黑体"/>
          <w:b/>
          <w:color w:val="1F3A5F"/>
          <w:sz w:val="22"/>
        </w:rPr>
        <w:t>第 153 条 Section 153(1)(a)、(3)　Prohibited conduct in Islamic money market and Islamic foreign exchange market（伊斯兰货币/外汇市场中的禁止行为【直接禁止性规范】）</w:t>
      </w:r>
    </w:p>
    <w:p w14:paraId="71903A5D">
      <w:pPr>
        <w:spacing w:after="40"/>
      </w:pPr>
      <w:r>
        <w:rPr>
          <w:rFonts w:ascii="Times New Roman" w:hAnsi="Times New Roman" w:eastAsia="宋体"/>
          <w:b/>
          <w:i w:val="0"/>
          <w:color w:val="1F3A5F"/>
          <w:sz w:val="19"/>
        </w:rPr>
        <w:t>位置：2021版 第149–151页　/　2013原版 第133页起（Part X）</w:t>
      </w:r>
    </w:p>
    <w:p w14:paraId="14AC6623">
      <w:pPr>
        <w:spacing w:after="20"/>
      </w:pPr>
      <w:r>
        <w:rPr>
          <w:rFonts w:ascii="Times New Roman" w:hAnsi="Times New Roman" w:eastAsia="宋体"/>
          <w:b/>
          <w:i w:val="0"/>
          <w:sz w:val="19"/>
        </w:rPr>
        <w:t>英文原文（节录）：</w:t>
      </w:r>
    </w:p>
    <w:p w14:paraId="12868C30">
      <w:pPr>
        <w:spacing w:after="60"/>
        <w:ind w:left="454"/>
      </w:pPr>
      <w:r>
        <w:rPr>
          <w:rFonts w:ascii="Times New Roman" w:hAnsi="Times New Roman" w:eastAsia="宋体"/>
          <w:b w:val="0"/>
          <w:i/>
          <w:color w:val="333333"/>
          <w:sz w:val="19"/>
        </w:rPr>
        <w:t>153. (1) No person shall— (a) engage in any conduct or activities in the Islamic money market or the Islamic foreign exchange market which is contrary to Shariah; ...</w:t>
      </w:r>
    </w:p>
    <w:p w14:paraId="7BD100D8">
      <w:pPr>
        <w:spacing w:after="60"/>
        <w:ind w:left="454"/>
      </w:pPr>
      <w:r>
        <w:rPr>
          <w:rFonts w:ascii="Times New Roman" w:hAnsi="Times New Roman" w:eastAsia="宋体"/>
          <w:b w:val="0"/>
          <w:i/>
          <w:color w:val="333333"/>
          <w:sz w:val="19"/>
        </w:rPr>
        <w:t>(3) Any person who contravenes subsection (1) commits an offence and shall, on conviction, be liable to imprisonment for a term not exceeding ten years or to a fine not exceeding fifty million ringgit or to both.</w:t>
      </w:r>
    </w:p>
    <w:p w14:paraId="1E339E51">
      <w:pPr>
        <w:spacing w:after="20"/>
      </w:pPr>
      <w:r>
        <w:rPr>
          <w:rFonts w:ascii="Times New Roman" w:hAnsi="Times New Roman" w:eastAsia="宋体"/>
          <w:b/>
          <w:i w:val="0"/>
          <w:sz w:val="19"/>
        </w:rPr>
        <w:t>中文白话译文：</w:t>
      </w:r>
    </w:p>
    <w:p w14:paraId="24BC156B">
      <w:pPr>
        <w:spacing w:after="20"/>
        <w:ind w:left="340"/>
      </w:pPr>
      <w:r>
        <w:rPr>
          <w:rFonts w:ascii="Times New Roman" w:hAnsi="Times New Roman" w:eastAsia="宋体"/>
          <w:b w:val="0"/>
          <w:i w:val="0"/>
          <w:sz w:val="19"/>
        </w:rPr>
        <w:t>153(1)(a) 任何人不得在伊斯兰货币市场或伊斯兰外汇市场从事任何违背沙里亚的行为或活动（含以利息/riba 为基础的交易）。</w:t>
      </w:r>
    </w:p>
    <w:p w14:paraId="68FD0000">
      <w:pPr>
        <w:spacing w:after="20"/>
        <w:ind w:left="340"/>
      </w:pPr>
      <w:r>
        <w:rPr>
          <w:rFonts w:ascii="Times New Roman" w:hAnsi="Times New Roman" w:eastAsia="宋体"/>
          <w:b w:val="0"/>
          <w:i w:val="0"/>
          <w:sz w:val="19"/>
        </w:rPr>
        <w:t>(3) 违反第(1)款即构成犯罪，最高 10 年监禁或 5000 万林吉特罚款，或两者并罚。</w:t>
      </w:r>
    </w:p>
    <w:p w14:paraId="3C1B992E">
      <w:pPr>
        <w:ind w:left="340"/>
      </w:pPr>
      <w:r>
        <w:rPr>
          <w:rFonts w:ascii="Times New Roman" w:hAnsi="Times New Roman" w:eastAsia="宋体"/>
          <w:b/>
          <w:color w:val="993300"/>
          <w:sz w:val="19"/>
        </w:rPr>
        <w:t>罚则/后果：</w:t>
      </w:r>
      <w:r>
        <w:rPr>
          <w:rFonts w:ascii="Times New Roman" w:hAnsi="Times New Roman" w:eastAsia="宋体"/>
          <w:b w:val="0"/>
          <w:color w:val="993300"/>
          <w:sz w:val="19"/>
        </w:rPr>
        <w:t>在伊斯兰金融市场从事违背沙里亚（含 riba）行为：最高监禁10年 / 罚款5000万林吉特。</w:t>
      </w:r>
    </w:p>
    <w:p w14:paraId="788F671D">
      <w:pPr>
        <w:spacing w:after="160"/>
        <w:ind w:left="340"/>
      </w:pPr>
      <w:r>
        <w:rPr>
          <w:rFonts w:ascii="Times New Roman" w:hAnsi="Times New Roman" w:eastAsia="宋体"/>
          <w:b/>
          <w:sz w:val="19"/>
        </w:rPr>
        <w:t>与 riba 禁止的关系：</w:t>
      </w:r>
      <w:r>
        <w:rPr>
          <w:rFonts w:ascii="Times New Roman" w:hAnsi="Times New Roman" w:eastAsia="宋体"/>
          <w:b w:val="0"/>
          <w:sz w:val="19"/>
        </w:rPr>
        <w:t>这是 IFSA 中字面最接近“直接禁止”的条款：以“No person shall（任何人不得）”开头，把违背沙里亚（riba 是其典型）列为市场层面的禁止行为，配合第152条央行的沙里亚标准制定权。</w:t>
      </w:r>
    </w:p>
    <w:p w14:paraId="75CE5831">
      <w:r>
        <w:rPr>
          <w:rFonts w:ascii="Times New Roman" w:hAnsi="Times New Roman" w:eastAsia="黑体"/>
          <w:b/>
          <w:color w:val="1F3A5F"/>
          <w:sz w:val="22"/>
        </w:rPr>
        <w:t>第 167(a) 条 + 第 168(2)(a)(v) 条　Power of Bank to issue directions; derecognition of non-Shariah income（央行发出指令的情形与“剔除违规收入”权）</w:t>
      </w:r>
    </w:p>
    <w:p w14:paraId="2C23E960">
      <w:pPr>
        <w:spacing w:after="40"/>
      </w:pPr>
      <w:r>
        <w:rPr>
          <w:rFonts w:ascii="Times New Roman" w:hAnsi="Times New Roman" w:eastAsia="宋体"/>
          <w:b/>
          <w:i w:val="0"/>
          <w:color w:val="1F3A5F"/>
          <w:sz w:val="19"/>
        </w:rPr>
        <w:t>位置：2021版 第161–163页　/　2013原版 第145–147页（Part XI 方向指令）</w:t>
      </w:r>
    </w:p>
    <w:p w14:paraId="60AD0CF1">
      <w:pPr>
        <w:spacing w:after="20"/>
      </w:pPr>
      <w:r>
        <w:rPr>
          <w:rFonts w:ascii="Times New Roman" w:hAnsi="Times New Roman" w:eastAsia="宋体"/>
          <w:b/>
          <w:i w:val="0"/>
          <w:sz w:val="19"/>
        </w:rPr>
        <w:t>英文原文（节录）：</w:t>
      </w:r>
    </w:p>
    <w:p w14:paraId="09AFAF76">
      <w:pPr>
        <w:spacing w:after="60"/>
        <w:ind w:left="454"/>
      </w:pPr>
      <w:r>
        <w:rPr>
          <w:rFonts w:ascii="Times New Roman" w:hAnsi="Times New Roman" w:eastAsia="宋体"/>
          <w:b w:val="0"/>
          <w:i/>
          <w:color w:val="333333"/>
          <w:sz w:val="19"/>
        </w:rPr>
        <w:t>167. The Bank may issue one or more of the directions specified in section 168 if the Bank is of the opinion that an institution ... (a) is carrying on or is about to carry on any part of its business, affairs or activities in a manner which is contrary to Shariah; ...</w:t>
      </w:r>
    </w:p>
    <w:p w14:paraId="23AC9FB1">
      <w:pPr>
        <w:spacing w:after="60"/>
        <w:ind w:left="454"/>
      </w:pPr>
      <w:r>
        <w:rPr>
          <w:rFonts w:ascii="Times New Roman" w:hAnsi="Times New Roman" w:eastAsia="宋体"/>
          <w:b w:val="0"/>
          <w:i/>
          <w:color w:val="333333"/>
          <w:sz w:val="19"/>
        </w:rPr>
        <w:t>168. (2)(a) ... the direction under subsection (1) may include— ... (v) to derecognize any income derived from any business or activity which is contrary to Shariah;</w:t>
      </w:r>
    </w:p>
    <w:p w14:paraId="7419639A">
      <w:pPr>
        <w:spacing w:after="20"/>
      </w:pPr>
      <w:r>
        <w:rPr>
          <w:rFonts w:ascii="Times New Roman" w:hAnsi="Times New Roman" w:eastAsia="宋体"/>
          <w:b/>
          <w:i w:val="0"/>
          <w:sz w:val="19"/>
        </w:rPr>
        <w:t>中文白话译文：</w:t>
      </w:r>
    </w:p>
    <w:p w14:paraId="5FD43904">
      <w:pPr>
        <w:spacing w:after="20"/>
        <w:ind w:left="340"/>
      </w:pPr>
      <w:r>
        <w:rPr>
          <w:rFonts w:ascii="Times New Roman" w:hAnsi="Times New Roman" w:eastAsia="宋体"/>
          <w:b w:val="0"/>
          <w:i w:val="0"/>
          <w:sz w:val="19"/>
        </w:rPr>
        <w:t>167(a) 央行若认为某机构正以（或将以）违背沙里亚的方式经营其任何业务，可向其发出法定指令。</w:t>
      </w:r>
    </w:p>
    <w:p w14:paraId="2E877CCE">
      <w:pPr>
        <w:spacing w:after="20"/>
        <w:ind w:left="340"/>
      </w:pPr>
      <w:r>
        <w:rPr>
          <w:rFonts w:ascii="Times New Roman" w:hAnsi="Times New Roman" w:eastAsia="宋体"/>
          <w:b w:val="0"/>
          <w:i w:val="0"/>
          <w:sz w:val="19"/>
        </w:rPr>
        <w:t>168(2)(a)(v) 指令内容可包括：对机构从违背沙里亚的业务/活动中取得的收入（典型即 riba/利息收入）“不予确认（derecognize）”，即不得作为合法收入入账，须从收益中剔除。</w:t>
      </w:r>
    </w:p>
    <w:p w14:paraId="0F493644">
      <w:pPr>
        <w:ind w:left="340"/>
      </w:pPr>
      <w:r>
        <w:rPr>
          <w:rFonts w:ascii="Times New Roman" w:hAnsi="Times New Roman" w:eastAsia="宋体"/>
          <w:b/>
          <w:color w:val="993300"/>
          <w:sz w:val="19"/>
        </w:rPr>
        <w:t>罚则/后果：</w:t>
      </w:r>
      <w:r>
        <w:rPr>
          <w:rFonts w:ascii="Times New Roman" w:hAnsi="Times New Roman" w:eastAsia="宋体"/>
          <w:b w:val="0"/>
          <w:color w:val="993300"/>
          <w:sz w:val="19"/>
        </w:rPr>
        <w:t>央行可责令停止/限制业务、变更或终止协议、剔除违规（riba）收入等。</w:t>
      </w:r>
    </w:p>
    <w:p w14:paraId="7989BD8A">
      <w:pPr>
        <w:spacing w:after="160"/>
        <w:ind w:left="340"/>
      </w:pPr>
      <w:r>
        <w:rPr>
          <w:rFonts w:ascii="Times New Roman" w:hAnsi="Times New Roman" w:eastAsia="宋体"/>
          <w:b/>
          <w:sz w:val="19"/>
        </w:rPr>
        <w:t>与 riba 禁止的关系：</w:t>
      </w:r>
      <w:r>
        <w:rPr>
          <w:rFonts w:ascii="Times New Roman" w:hAnsi="Times New Roman" w:eastAsia="宋体"/>
          <w:b w:val="0"/>
          <w:sz w:val="19"/>
        </w:rPr>
        <w:t>从财务后果上禁止 riba：即便机构一时收取了利息，该收入也不被法律承认，必须剔除，形成“收了也白收、还要担责”的约束。</w:t>
      </w:r>
    </w:p>
    <w:p w14:paraId="107F7937">
      <w:r>
        <w:rPr>
          <w:rFonts w:ascii="Times New Roman" w:hAnsi="Times New Roman" w:eastAsia="黑体"/>
          <w:b/>
          <w:color w:val="1F3A5F"/>
          <w:sz w:val="22"/>
        </w:rPr>
        <w:t>第 2 条（Section 2，解释条款）中的配套定义</w:t>
      </w:r>
    </w:p>
    <w:p w14:paraId="509BA653">
      <w:pPr>
        <w:spacing w:after="60"/>
      </w:pPr>
      <w:r>
        <w:rPr>
          <w:rFonts w:ascii="Times New Roman" w:hAnsi="Times New Roman" w:eastAsia="宋体"/>
          <w:b w:val="0"/>
          <w:i w:val="0"/>
          <w:sz w:val="21"/>
        </w:rPr>
        <w:t>位置：2021版 第29–39页。IFSA 对几乎每一类伊斯兰金融业务/工具都加上“符合沙里亚 / 不含违背沙里亚元素”的法定前提，从定义层面排除 riba：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3757"/>
        <w:gridCol w:w="991"/>
        <w:gridCol w:w="2210"/>
      </w:tblGrid>
      <w:tr w14:paraId="651B00E4">
        <w:trPr>
          <w:jc w:val="center"/>
        </w:trPr>
        <w:tc>
          <w:tcPr>
            <w:tcW w:w="2041" w:type="dxa"/>
            <w:shd w:val="clear" w:color="auto" w:fill="1F3A5F"/>
          </w:tcPr>
          <w:p w14:paraId="048BF945">
            <w:pPr>
              <w:spacing w:after="0" w:line="240" w:lineRule="auto"/>
            </w:pPr>
            <w:r>
              <w:rPr>
                <w:rFonts w:ascii="Times New Roman" w:hAnsi="Times New Roman" w:eastAsia="黑体"/>
                <w:b/>
                <w:color w:val="FFFFFF"/>
                <w:sz w:val="19"/>
              </w:rPr>
              <w:t>法定术语（Section 2）</w:t>
            </w:r>
          </w:p>
        </w:tc>
        <w:tc>
          <w:tcPr>
            <w:tcW w:w="4082" w:type="dxa"/>
            <w:shd w:val="clear" w:color="auto" w:fill="1F3A5F"/>
          </w:tcPr>
          <w:p w14:paraId="57E71F43">
            <w:pPr>
              <w:spacing w:after="0" w:line="240" w:lineRule="auto"/>
            </w:pPr>
            <w:r>
              <w:rPr>
                <w:rFonts w:ascii="Times New Roman" w:hAnsi="Times New Roman" w:eastAsia="黑体"/>
                <w:b/>
                <w:color w:val="FFFFFF"/>
                <w:sz w:val="19"/>
              </w:rPr>
              <w:t>原文关键限定</w:t>
            </w:r>
          </w:p>
        </w:tc>
        <w:tc>
          <w:tcPr>
            <w:tcW w:w="1020" w:type="dxa"/>
            <w:shd w:val="clear" w:color="auto" w:fill="1F3A5F"/>
          </w:tcPr>
          <w:p w14:paraId="7BD2DBB5">
            <w:pPr>
              <w:spacing w:after="0" w:line="240" w:lineRule="auto"/>
            </w:pPr>
            <w:r>
              <w:rPr>
                <w:rFonts w:ascii="Times New Roman" w:hAnsi="Times New Roman" w:eastAsia="黑体"/>
                <w:b/>
                <w:color w:val="FFFFFF"/>
                <w:sz w:val="19"/>
              </w:rPr>
              <w:t>页码(2021版)</w:t>
            </w:r>
          </w:p>
        </w:tc>
        <w:tc>
          <w:tcPr>
            <w:tcW w:w="2494" w:type="dxa"/>
            <w:shd w:val="clear" w:color="auto" w:fill="1F3A5F"/>
          </w:tcPr>
          <w:p w14:paraId="1B189F79">
            <w:pPr>
              <w:spacing w:after="0" w:line="240" w:lineRule="auto"/>
            </w:pPr>
            <w:r>
              <w:rPr>
                <w:rFonts w:ascii="Times New Roman" w:hAnsi="Times New Roman" w:eastAsia="黑体"/>
                <w:b/>
                <w:color w:val="FFFFFF"/>
                <w:sz w:val="19"/>
              </w:rPr>
              <w:t>含义</w:t>
            </w:r>
          </w:p>
        </w:tc>
      </w:tr>
      <w:tr w14:paraId="38B3F0D4">
        <w:trPr>
          <w:jc w:val="center"/>
        </w:trPr>
        <w:tc>
          <w:tcPr>
            <w:tcW w:w="2041" w:type="dxa"/>
          </w:tcPr>
          <w:p w14:paraId="3F4C32AF">
            <w:pPr>
              <w:spacing w:after="0" w:line="240" w:lineRule="auto"/>
            </w:pPr>
            <w:r>
              <w:rPr>
                <w:rFonts w:ascii="Times New Roman" w:hAnsi="Times New Roman" w:eastAsia="宋体"/>
                <w:b w:val="0"/>
                <w:sz w:val="19"/>
              </w:rPr>
              <w:t>“provision of finance” 提供融资</w:t>
            </w:r>
          </w:p>
        </w:tc>
        <w:tc>
          <w:tcPr>
            <w:tcW w:w="4082" w:type="dxa"/>
          </w:tcPr>
          <w:p w14:paraId="6E8E9603">
            <w:pPr>
              <w:spacing w:after="0" w:line="240" w:lineRule="auto"/>
            </w:pPr>
            <w:r>
              <w:rPr>
                <w:rFonts w:ascii="Times New Roman" w:hAnsi="Times New Roman" w:eastAsia="宋体"/>
                <w:b w:val="0"/>
                <w:sz w:val="19"/>
              </w:rPr>
              <w:t>businesses or activities which are in accordance with Shariah（须符合沙里亚），并列举 musyarakah/mudarabah（合伙）、al-ijarah（租赁）、murabahah/bai’ bithaman ajil/bai’ salam/istisna’（买卖）、wakalah（代理）等替代利息借贷的合规合约</w:t>
            </w:r>
          </w:p>
        </w:tc>
        <w:tc>
          <w:tcPr>
            <w:tcW w:w="1020" w:type="dxa"/>
          </w:tcPr>
          <w:p w14:paraId="3F67CC05">
            <w:pPr>
              <w:spacing w:after="0" w:line="240" w:lineRule="auto"/>
            </w:pPr>
            <w:r>
              <w:rPr>
                <w:rFonts w:ascii="Times New Roman" w:hAnsi="Times New Roman" w:eastAsia="宋体"/>
                <w:b w:val="0"/>
                <w:sz w:val="19"/>
              </w:rPr>
              <w:t>p.37</w:t>
            </w:r>
          </w:p>
        </w:tc>
        <w:tc>
          <w:tcPr>
            <w:tcW w:w="2494" w:type="dxa"/>
          </w:tcPr>
          <w:p w14:paraId="22F6858A">
            <w:pPr>
              <w:spacing w:after="0" w:line="240" w:lineRule="auto"/>
            </w:pPr>
            <w:r>
              <w:rPr>
                <w:rFonts w:ascii="Times New Roman" w:hAnsi="Times New Roman" w:eastAsia="宋体"/>
                <w:b w:val="0"/>
                <w:sz w:val="19"/>
              </w:rPr>
              <w:t>伊斯兰“融资”在法律上只能用沙里亚合规结构，不能用“本金+固定利息”的借贷（后者即 riba）</w:t>
            </w:r>
          </w:p>
        </w:tc>
      </w:tr>
      <w:tr w14:paraId="6C549AB9">
        <w:trPr>
          <w:jc w:val="center"/>
        </w:trPr>
        <w:tc>
          <w:tcPr>
            <w:tcW w:w="2041" w:type="dxa"/>
          </w:tcPr>
          <w:p w14:paraId="52A73C90">
            <w:pPr>
              <w:spacing w:after="0" w:line="240" w:lineRule="auto"/>
            </w:pPr>
            <w:r>
              <w:rPr>
                <w:rFonts w:ascii="Times New Roman" w:hAnsi="Times New Roman" w:eastAsia="宋体"/>
                <w:b w:val="0"/>
                <w:sz w:val="19"/>
              </w:rPr>
              <w:t>“Islamic payment instrument” 伊斯兰支付工具</w:t>
            </w:r>
          </w:p>
        </w:tc>
        <w:tc>
          <w:tcPr>
            <w:tcW w:w="4082" w:type="dxa"/>
          </w:tcPr>
          <w:p w14:paraId="21679295">
            <w:pPr>
              <w:spacing w:after="0" w:line="240" w:lineRule="auto"/>
            </w:pPr>
            <w:r>
              <w:rPr>
                <w:rFonts w:ascii="Times New Roman" w:hAnsi="Times New Roman" w:eastAsia="宋体"/>
                <w:b w:val="0"/>
                <w:sz w:val="19"/>
              </w:rPr>
              <w:t>any instrument ... which does not involve any element which is contrary to Shariah（不得包含任何违背沙里亚的元素）</w:t>
            </w:r>
          </w:p>
        </w:tc>
        <w:tc>
          <w:tcPr>
            <w:tcW w:w="1020" w:type="dxa"/>
          </w:tcPr>
          <w:p w14:paraId="1A3BB0D5">
            <w:pPr>
              <w:spacing w:after="0" w:line="240" w:lineRule="auto"/>
            </w:pPr>
            <w:r>
              <w:rPr>
                <w:rFonts w:ascii="Times New Roman" w:hAnsi="Times New Roman" w:eastAsia="宋体"/>
                <w:b w:val="0"/>
                <w:sz w:val="19"/>
              </w:rPr>
              <w:t>p.31–32</w:t>
            </w:r>
          </w:p>
        </w:tc>
        <w:tc>
          <w:tcPr>
            <w:tcW w:w="2494" w:type="dxa"/>
          </w:tcPr>
          <w:p w14:paraId="47BD58F4">
            <w:pPr>
              <w:spacing w:after="0" w:line="240" w:lineRule="auto"/>
            </w:pPr>
            <w:r>
              <w:rPr>
                <w:rFonts w:ascii="Times New Roman" w:hAnsi="Times New Roman" w:eastAsia="宋体"/>
                <w:b w:val="0"/>
                <w:sz w:val="19"/>
              </w:rPr>
              <w:t>支付工具只要含 riba 等违禁元素，就不构成法定“伊斯兰支付工具”</w:t>
            </w:r>
          </w:p>
        </w:tc>
      </w:tr>
      <w:tr w14:paraId="2251092F">
        <w:trPr>
          <w:jc w:val="center"/>
        </w:trPr>
        <w:tc>
          <w:tcPr>
            <w:tcW w:w="2041" w:type="dxa"/>
          </w:tcPr>
          <w:p w14:paraId="2E67F0E1">
            <w:pPr>
              <w:spacing w:after="0" w:line="240" w:lineRule="auto"/>
            </w:pPr>
            <w:r>
              <w:rPr>
                <w:rFonts w:ascii="Times New Roman" w:hAnsi="Times New Roman" w:eastAsia="宋体"/>
                <w:b w:val="0"/>
                <w:sz w:val="19"/>
              </w:rPr>
              <w:t>“Islamic foreign exchange market” 伊斯兰外汇市场</w:t>
            </w:r>
          </w:p>
        </w:tc>
        <w:tc>
          <w:tcPr>
            <w:tcW w:w="4082" w:type="dxa"/>
          </w:tcPr>
          <w:p w14:paraId="5A2DC4F8">
            <w:pPr>
              <w:spacing w:after="0" w:line="240" w:lineRule="auto"/>
            </w:pPr>
            <w:r>
              <w:rPr>
                <w:rFonts w:ascii="Times New Roman" w:hAnsi="Times New Roman" w:eastAsia="宋体"/>
                <w:b w:val="0"/>
                <w:sz w:val="19"/>
              </w:rPr>
              <w:t>a foreign exchange market where the transactions, instruments or operations are not contrary to Shariah</w:t>
            </w:r>
          </w:p>
        </w:tc>
        <w:tc>
          <w:tcPr>
            <w:tcW w:w="1020" w:type="dxa"/>
          </w:tcPr>
          <w:p w14:paraId="7963C619">
            <w:pPr>
              <w:spacing w:after="0" w:line="240" w:lineRule="auto"/>
            </w:pPr>
            <w:r>
              <w:rPr>
                <w:rFonts w:ascii="Times New Roman" w:hAnsi="Times New Roman" w:eastAsia="宋体"/>
                <w:b w:val="0"/>
                <w:sz w:val="19"/>
              </w:rPr>
              <w:t>p.31</w:t>
            </w:r>
          </w:p>
        </w:tc>
        <w:tc>
          <w:tcPr>
            <w:tcW w:w="2494" w:type="dxa"/>
          </w:tcPr>
          <w:p w14:paraId="7C0181BC">
            <w:pPr>
              <w:spacing w:after="0" w:line="240" w:lineRule="auto"/>
            </w:pPr>
            <w:r>
              <w:rPr>
                <w:rFonts w:ascii="Times New Roman" w:hAnsi="Times New Roman" w:eastAsia="宋体"/>
                <w:b w:val="0"/>
                <w:sz w:val="19"/>
              </w:rPr>
              <w:t>市场交易不得违背沙里亚（含不得有 riba）</w:t>
            </w:r>
          </w:p>
        </w:tc>
      </w:tr>
      <w:tr w14:paraId="1094D7B7">
        <w:trPr>
          <w:jc w:val="center"/>
        </w:trPr>
        <w:tc>
          <w:tcPr>
            <w:tcW w:w="2041" w:type="dxa"/>
          </w:tcPr>
          <w:p w14:paraId="3B1CEC6A">
            <w:pPr>
              <w:spacing w:after="0" w:line="240" w:lineRule="auto"/>
            </w:pPr>
            <w:r>
              <w:rPr>
                <w:rFonts w:ascii="Times New Roman" w:hAnsi="Times New Roman" w:eastAsia="宋体"/>
                <w:b w:val="0"/>
                <w:sz w:val="19"/>
              </w:rPr>
              <w:t>“Islamic deposit” 伊斯兰存款 / “investment account” 投资账户 / “Islamic securities” 伊斯兰证券 / “Islamic derivative” 伊斯兰衍生品</w:t>
            </w:r>
          </w:p>
        </w:tc>
        <w:tc>
          <w:tcPr>
            <w:tcW w:w="4082" w:type="dxa"/>
          </w:tcPr>
          <w:p w14:paraId="1EFF69D2">
            <w:pPr>
              <w:spacing w:after="0" w:line="240" w:lineRule="auto"/>
            </w:pPr>
            <w:r>
              <w:rPr>
                <w:rFonts w:ascii="Times New Roman" w:hAnsi="Times New Roman" w:eastAsia="宋体"/>
                <w:b w:val="0"/>
                <w:sz w:val="19"/>
              </w:rPr>
              <w:t>accepted/paid/made ... in accordance with Shariah（均须符合沙里亚）</w:t>
            </w:r>
          </w:p>
        </w:tc>
        <w:tc>
          <w:tcPr>
            <w:tcW w:w="1020" w:type="dxa"/>
          </w:tcPr>
          <w:p w14:paraId="360E48CB">
            <w:pPr>
              <w:spacing w:after="0" w:line="240" w:lineRule="auto"/>
            </w:pPr>
            <w:r>
              <w:rPr>
                <w:rFonts w:ascii="Times New Roman" w:hAnsi="Times New Roman" w:eastAsia="宋体"/>
                <w:b w:val="0"/>
                <w:sz w:val="19"/>
              </w:rPr>
              <w:t>p.29–32</w:t>
            </w:r>
          </w:p>
        </w:tc>
        <w:tc>
          <w:tcPr>
            <w:tcW w:w="2494" w:type="dxa"/>
          </w:tcPr>
          <w:p w14:paraId="6EEC468E">
            <w:pPr>
              <w:spacing w:after="0" w:line="240" w:lineRule="auto"/>
            </w:pPr>
            <w:r>
              <w:rPr>
                <w:rFonts w:ascii="Times New Roman" w:hAnsi="Times New Roman" w:eastAsia="宋体"/>
                <w:b w:val="0"/>
                <w:sz w:val="19"/>
              </w:rPr>
              <w:t>存款、投资、证券、衍生品的合法定义都以沙里亚合规为前提</w:t>
            </w:r>
          </w:p>
        </w:tc>
      </w:tr>
      <w:tr w14:paraId="253D2583">
        <w:trPr>
          <w:jc w:val="center"/>
        </w:trPr>
        <w:tc>
          <w:tcPr>
            <w:tcW w:w="2041" w:type="dxa"/>
          </w:tcPr>
          <w:p w14:paraId="3B39C69E">
            <w:pPr>
              <w:spacing w:after="0" w:line="240" w:lineRule="auto"/>
            </w:pPr>
            <w:r>
              <w:rPr>
                <w:rFonts w:ascii="Times New Roman" w:hAnsi="Times New Roman" w:eastAsia="宋体"/>
                <w:b w:val="0"/>
                <w:sz w:val="19"/>
              </w:rPr>
              <w:t>“Shariah Advisory Council (SAC)” 沙里亚咨询理事会</w:t>
            </w:r>
          </w:p>
        </w:tc>
        <w:tc>
          <w:tcPr>
            <w:tcW w:w="4082" w:type="dxa"/>
          </w:tcPr>
          <w:p w14:paraId="76F7F0B0">
            <w:pPr>
              <w:spacing w:after="0" w:line="240" w:lineRule="auto"/>
            </w:pPr>
            <w:r>
              <w:rPr>
                <w:rFonts w:ascii="Times New Roman" w:hAnsi="Times New Roman" w:eastAsia="宋体"/>
                <w:b w:val="0"/>
                <w:sz w:val="19"/>
              </w:rPr>
              <w:t>the Shariah Advisory Council on Islamic finance established under section 51 of the Central Bank of Malaysia Act 2009（依《2009年央行法》第51条设立）</w:t>
            </w:r>
          </w:p>
        </w:tc>
        <w:tc>
          <w:tcPr>
            <w:tcW w:w="1020" w:type="dxa"/>
          </w:tcPr>
          <w:p w14:paraId="20BD8221">
            <w:pPr>
              <w:spacing w:after="0" w:line="240" w:lineRule="auto"/>
            </w:pPr>
            <w:r>
              <w:rPr>
                <w:rFonts w:ascii="Times New Roman" w:hAnsi="Times New Roman" w:eastAsia="宋体"/>
                <w:b w:val="0"/>
                <w:sz w:val="19"/>
              </w:rPr>
              <w:t>p.39</w:t>
            </w:r>
          </w:p>
        </w:tc>
        <w:tc>
          <w:tcPr>
            <w:tcW w:w="2494" w:type="dxa"/>
          </w:tcPr>
          <w:p w14:paraId="2646EF65">
            <w:pPr>
              <w:spacing w:after="0" w:line="240" w:lineRule="auto"/>
            </w:pPr>
            <w:r>
              <w:rPr>
                <w:rFonts w:ascii="Times New Roman" w:hAnsi="Times New Roman" w:eastAsia="宋体"/>
                <w:b w:val="0"/>
                <w:sz w:val="19"/>
              </w:rPr>
              <w:t>明确 riba 认定权的法定来源机构，是第28(2)条的落地主体</w:t>
            </w:r>
          </w:p>
        </w:tc>
      </w:tr>
    </w:tbl>
    <w:p w14:paraId="555F70BF">
      <w:r>
        <w:rPr>
          <w:rFonts w:ascii="Times New Roman" w:hAnsi="Times New Roman" w:eastAsia="黑体"/>
          <w:b/>
          <w:color w:val="1F3A5F"/>
          <w:sz w:val="22"/>
        </w:rPr>
        <w:t>第 152 条 Section 152（补充）</w:t>
      </w:r>
    </w:p>
    <w:p w14:paraId="1574A031">
      <w:pPr>
        <w:spacing w:after="120"/>
      </w:pPr>
      <w:r>
        <w:rPr>
          <w:rFonts w:ascii="Times New Roman" w:hAnsi="Times New Roman" w:eastAsia="宋体"/>
          <w:b w:val="0"/>
          <w:i w:val="0"/>
          <w:sz w:val="21"/>
        </w:rPr>
        <w:t>位置：2021版 第148页。央行可为伊斯兰货币市场/外汇市场“制定标准或发布守则，以保障……并确保符合沙里亚（ensuring compliance with Shariah）”，是第153条禁止性规定的规则来源。</w:t>
      </w:r>
    </w:p>
    <w:p w14:paraId="5243AECD">
      <w:r>
        <w:rPr>
          <w:rFonts w:ascii="Times New Roman" w:hAnsi="Times New Roman" w:eastAsia="黑体"/>
          <w:b/>
          <w:color w:val="1F3A5F"/>
          <w:sz w:val="30"/>
        </w:rPr>
        <w:t>六、riba 被官方认定为“禁止”的直接依据（SAC 裁决）</w:t>
      </w:r>
    </w:p>
    <w:p w14:paraId="414101EA">
      <w:pPr>
        <w:spacing w:after="60"/>
      </w:pPr>
      <w:r>
        <w:rPr>
          <w:rFonts w:ascii="Times New Roman" w:hAnsi="Times New Roman" w:eastAsia="宋体"/>
          <w:b w:val="0"/>
          <w:i w:val="0"/>
          <w:sz w:val="21"/>
        </w:rPr>
        <w:t>IFSA 第 28(2) 条所指的 SAC 裁决，由 BNM 汇编为《Shariah Resolutions in Islamic Finance》。其英文第二版（2010年10月，BNM 官方版权）第 81 号决议（Imposition of Ta‘widh and Gharamah，该书第191页）原文写道：</w:t>
      </w:r>
    </w:p>
    <w:p w14:paraId="2F210C19">
      <w:pPr>
        <w:spacing w:after="60"/>
        <w:ind w:left="454"/>
      </w:pPr>
      <w:r>
        <w:rPr>
          <w:rFonts w:ascii="Times New Roman" w:hAnsi="Times New Roman" w:eastAsia="宋体"/>
          <w:b w:val="0"/>
          <w:i/>
          <w:color w:val="333333"/>
          <w:sz w:val="19"/>
        </w:rPr>
        <w:t>“In conventional financial system, the problems associated with default in loan repayment are controlled by charging interests or riba on customers. Since the imposition of interests or riba is prohibited by Shariah, Islamic financial institutions do not adopt this mechanism ...”</w:t>
      </w:r>
    </w:p>
    <w:p w14:paraId="6E737F51">
      <w:pPr>
        <w:spacing w:after="80"/>
        <w:ind w:left="340"/>
      </w:pPr>
      <w:r>
        <w:rPr>
          <w:rFonts w:ascii="Times New Roman" w:hAnsi="Times New Roman" w:eastAsia="宋体"/>
          <w:b w:val="0"/>
          <w:i w:val="0"/>
          <w:sz w:val="21"/>
        </w:rPr>
        <w:t>白话译文：“在传统（西方）金融体系中，贷款违约问题靠向客户收取利息（interest）即 riba 来处理；由于收取利息/riba 为沙里亚所禁止，伊斯兰金融机构不采用这种机制……”——这是马来西亚官方机构对“利息＝riba、且被禁止”的明确书面认定。</w:t>
      </w:r>
    </w:p>
    <w:p w14:paraId="58C32B42">
      <w:pPr>
        <w:pStyle w:val="16"/>
      </w:pPr>
      <w:r>
        <w:rPr>
          <w:rFonts w:ascii="Times New Roman" w:hAnsi="Times New Roman" w:eastAsia="宋体"/>
          <w:b w:val="0"/>
          <w:sz w:val="21"/>
        </w:rPr>
        <w:t>BNM 官方 PDF（英文第二版，2010）：https://www.bnm.gov.my/documents/20124/9198675/shariah_resolutions_2nd_edition_EN.pdf</w:t>
      </w:r>
    </w:p>
    <w:p w14:paraId="264B6B9C">
      <w:pPr>
        <w:pStyle w:val="16"/>
      </w:pPr>
      <w:r>
        <w:rPr>
          <w:rFonts w:ascii="Times New Roman" w:hAnsi="Times New Roman" w:eastAsia="宋体"/>
          <w:b w:val="0"/>
          <w:sz w:val="21"/>
        </w:rPr>
        <w:t>BNM-SAC 官方介绍页（最高沙里亚权威、法院须提交SAC等）：https://www.bnm.gov.my/committees/sac</w:t>
      </w:r>
    </w:p>
    <w:p w14:paraId="7956AD99">
      <w:pPr>
        <w:pStyle w:val="16"/>
      </w:pPr>
      <w:r>
        <w:rPr>
          <w:rFonts w:ascii="Times New Roman" w:hAnsi="Times New Roman" w:eastAsia="宋体"/>
          <w:b w:val="0"/>
          <w:sz w:val="21"/>
        </w:rPr>
        <w:t>配套母法：Central Bank of Malaysia Act 2009（Act 701）第51条（设立SAC）及该法关于SAC裁决约束力、法院/仲裁须征询SAC的条款。</w:t>
      </w:r>
    </w:p>
    <w:p w14:paraId="08B90A97">
      <w:r>
        <w:rPr>
          <w:rFonts w:ascii="Times New Roman" w:hAnsi="Times New Roman" w:eastAsia="黑体"/>
          <w:b/>
          <w:color w:val="1F3A5F"/>
          <w:sz w:val="30"/>
        </w:rPr>
        <w:t>七、数据采集的记录与引用建议</w:t>
      </w:r>
    </w:p>
    <w:p w14:paraId="0ACD56FF">
      <w:pPr>
        <w:pStyle w:val="16"/>
      </w:pPr>
      <w:r>
        <w:rPr>
          <w:rFonts w:ascii="Times New Roman" w:hAnsi="Times New Roman" w:eastAsia="宋体"/>
          <w:b w:val="0"/>
          <w:sz w:val="21"/>
        </w:rPr>
        <w:t>结论字段建议写：“IFSA 2013 (Act 759) 未出现‘riba’字样；其通过 Section 28、29（Part IV 沙里亚合规义务）、Section 153(1)(a)（市场禁止行为）、Section 167(a)/168(2)(a)(v)（违规收入剔除）及 Section 2 系列定义，以‘符合沙里亚’义务间接但全面地禁止 riba/利息；riba 的具体认定依 Section 28(2) 归属 BNM Shariah Advisory Council。”</w:t>
      </w:r>
    </w:p>
    <w:p w14:paraId="5A46C4F2">
      <w:pPr>
        <w:pStyle w:val="16"/>
      </w:pPr>
      <w:r>
        <w:rPr>
          <w:rFonts w:ascii="Times New Roman" w:hAnsi="Times New Roman" w:eastAsia="宋体"/>
          <w:b w:val="0"/>
          <w:sz w:val="21"/>
        </w:rPr>
        <w:t>条款引用格式（举例）：Islamic Financial Services Act 2013 (Act 759), s.28(1), (3), (5)（Laws of Malaysia, AGC reprint as at 11 Feb 2021, pp.67–68）。</w:t>
      </w:r>
    </w:p>
    <w:p w14:paraId="58C3B8DA">
      <w:pPr>
        <w:pStyle w:val="16"/>
      </w:pPr>
      <w:r>
        <w:rPr>
          <w:rFonts w:ascii="Times New Roman" w:hAnsi="Times New Roman" w:eastAsia="宋体"/>
          <w:b w:val="0"/>
          <w:sz w:val="21"/>
        </w:rPr>
        <w:t>“官方来源 URL”字段填第三部分的 AGC 链接；“官方PDF”字段附上随附的两个 PDF 文件名与 MD5（见第九部分）。</w:t>
      </w:r>
    </w:p>
    <w:p w14:paraId="22FCF037">
      <w:pPr>
        <w:pStyle w:val="16"/>
      </w:pPr>
      <w:r>
        <w:rPr>
          <w:rFonts w:ascii="Times New Roman" w:hAnsi="Times New Roman" w:eastAsia="宋体"/>
          <w:b w:val="0"/>
          <w:sz w:val="21"/>
        </w:rPr>
        <w:t>若采集表要求“是否字面禁止利息（explicit ban on interest）”，应如实填“否（No explicit word ‘riba’/‘interest’; prohibition is effected via Shariah-compliance duty）”，避免误填为“有明确riba条款”。</w:t>
      </w:r>
    </w:p>
    <w:p w14:paraId="5E4EBF4A">
      <w:r>
        <w:rPr>
          <w:rFonts w:ascii="Times New Roman" w:hAnsi="Times New Roman" w:eastAsia="黑体"/>
          <w:b/>
          <w:color w:val="1F3A5F"/>
          <w:sz w:val="30"/>
        </w:rPr>
        <w:t>八、核验记录与如实声明</w:t>
      </w:r>
    </w:p>
    <w:p w14:paraId="7D18629E">
      <w:pPr>
        <w:pStyle w:val="16"/>
      </w:pPr>
      <w:r>
        <w:rPr>
          <w:rFonts w:ascii="Times New Roman" w:hAnsi="Times New Roman" w:eastAsia="宋体"/>
          <w:b w:val="0"/>
          <w:sz w:val="21"/>
        </w:rPr>
        <w:t>已从 AGC 联邦法律官网成功下载两个官方 PDF，并用工具逐页提取全文、检索 riba/interest/Shariah 关键词；对第28、29、152、153、167、168条及第2条定义所在页面逐页渲染成图、与英文原文逐字核对一致；2013原版与2021合订版条款号完全一致，未发生条号漂移。</w:t>
      </w:r>
    </w:p>
    <w:p w14:paraId="3DC3CB2B">
      <w:pPr>
        <w:pStyle w:val="16"/>
      </w:pPr>
      <w:r>
        <w:rPr>
          <w:rFonts w:ascii="Times New Roman" w:hAnsi="Times New Roman" w:eastAsia="宋体"/>
          <w:b w:val="0"/>
          <w:sz w:val="21"/>
        </w:rPr>
        <w:t>全文检索结果：两个版本中均无“riba”一词；“interest”出现处均为“股权/权益（interest in shares 等）”含义，无“借贷利息”义项——这一结论已逐处核查，可放心写入采集记录。</w:t>
      </w:r>
    </w:p>
    <w:p w14:paraId="4AB644DC">
      <w:pPr>
        <w:pStyle w:val="16"/>
      </w:pPr>
      <w:r>
        <w:rPr>
          <w:rFonts w:ascii="Times New Roman" w:hAnsi="Times New Roman" w:eastAsia="宋体"/>
          <w:b w:val="0"/>
          <w:sz w:val="21"/>
        </w:rPr>
        <w:t>AGC 在线 PDF 封面载有标准声明：该文本是法律修订专员（Commissioner of Law Revision）依《1968年法律修订法》第14(1)条权力重印的“更新文本（updated text of reprint）”，并注明其本身“NOT AN AUTHENTIC TEXT（非认证正本）”。含义：马来西亚法律的“认证正本”以政府公报/官方印刷本为准；但 lom.agc.gov.my 是官方对外发布现行法律文本的唯一门户，是学术研究与法律实务通用的官方引用来源，满足本次采集要求。</w:t>
      </w:r>
    </w:p>
    <w:p w14:paraId="088DDFEE">
      <w:pPr>
        <w:pStyle w:val="16"/>
      </w:pPr>
      <w:r>
        <w:rPr>
          <w:rFonts w:ascii="Times New Roman" w:hAnsi="Times New Roman" w:eastAsia="宋体"/>
          <w:b w:val="0"/>
          <w:sz w:val="21"/>
        </w:rPr>
        <w:t>本次环境直连 bnm.gov.my 下载文件时连接被重置（SSL EOF/超时，多次重试与更换路径均失败），故未把 BNM 托管的 PDF 落地为本地文件，仅核读了其官网页面并记录官方 URL；IFSA 本体 PDF 已由 AGC 官方来源完整取得，不影响任务完整性。SAC 裁决汇编（BNM 官方出版物）的英文原文经公开镜像核对一致，官方 URL 已在第六部分给出。</w:t>
      </w:r>
    </w:p>
    <w:p w14:paraId="45ECC177">
      <w:r>
        <w:rPr>
          <w:rFonts w:ascii="Times New Roman" w:hAnsi="Times New Roman" w:eastAsia="黑体"/>
          <w:b/>
          <w:color w:val="1F3A5F"/>
          <w:sz w:val="30"/>
        </w:rPr>
        <w:t>九、随附文件与校验值（MD5）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3"/>
        <w:gridCol w:w="2103"/>
        <w:gridCol w:w="3140"/>
      </w:tblGrid>
      <w:tr w14:paraId="138ED237">
        <w:trPr>
          <w:jc w:val="center"/>
        </w:trPr>
        <w:tc>
          <w:tcPr>
            <w:tcW w:w="3742" w:type="dxa"/>
            <w:shd w:val="clear" w:color="auto" w:fill="1F3A5F"/>
          </w:tcPr>
          <w:p w14:paraId="1CE5A231">
            <w:pPr>
              <w:spacing w:after="0" w:line="240" w:lineRule="auto"/>
            </w:pPr>
            <w:r>
              <w:rPr>
                <w:rFonts w:ascii="Times New Roman" w:hAnsi="Times New Roman" w:eastAsia="黑体"/>
                <w:b/>
                <w:color w:val="FFFFFF"/>
                <w:sz w:val="19"/>
              </w:rPr>
              <w:t>文件</w:t>
            </w:r>
          </w:p>
        </w:tc>
        <w:tc>
          <w:tcPr>
            <w:tcW w:w="4195" w:type="dxa"/>
            <w:shd w:val="clear" w:color="auto" w:fill="1F3A5F"/>
          </w:tcPr>
          <w:p w14:paraId="6D4565FC">
            <w:pPr>
              <w:spacing w:after="0" w:line="240" w:lineRule="auto"/>
            </w:pPr>
            <w:r>
              <w:rPr>
                <w:rFonts w:ascii="Times New Roman" w:hAnsi="Times New Roman" w:eastAsia="黑体"/>
                <w:b/>
                <w:color w:val="FFFFFF"/>
                <w:sz w:val="19"/>
              </w:rPr>
              <w:t>说明</w:t>
            </w:r>
          </w:p>
        </w:tc>
        <w:tc>
          <w:tcPr>
            <w:tcW w:w="2835" w:type="dxa"/>
            <w:shd w:val="clear" w:color="auto" w:fill="1F3A5F"/>
          </w:tcPr>
          <w:p w14:paraId="1950C5B3">
            <w:pPr>
              <w:spacing w:after="0" w:line="240" w:lineRule="auto"/>
            </w:pPr>
            <w:r>
              <w:rPr>
                <w:rFonts w:ascii="Times New Roman" w:hAnsi="Times New Roman" w:eastAsia="黑体"/>
                <w:b/>
                <w:color w:val="FFFFFF"/>
                <w:sz w:val="19"/>
              </w:rPr>
              <w:t>MD5</w:t>
            </w:r>
          </w:p>
        </w:tc>
      </w:tr>
      <w:tr w14:paraId="18587C71">
        <w:trPr>
          <w:jc w:val="center"/>
        </w:trPr>
        <w:tc>
          <w:tcPr>
            <w:tcW w:w="3742" w:type="dxa"/>
          </w:tcPr>
          <w:p w14:paraId="6A33F8F3">
            <w:pPr>
              <w:spacing w:after="0" w:line="240" w:lineRule="auto"/>
            </w:pPr>
            <w:r>
              <w:rPr>
                <w:rFonts w:ascii="Times New Roman" w:hAnsi="Times New Roman" w:eastAsia="宋体"/>
                <w:b w:val="0"/>
                <w:sz w:val="19"/>
              </w:rPr>
              <w:t>IFSA2013_Act759_AGC_2013original.pdf</w:t>
            </w:r>
          </w:p>
        </w:tc>
        <w:tc>
          <w:tcPr>
            <w:tcW w:w="4195" w:type="dxa"/>
          </w:tcPr>
          <w:p w14:paraId="67483383">
            <w:pPr>
              <w:spacing w:after="0" w:line="240" w:lineRule="auto"/>
            </w:pPr>
            <w:r>
              <w:rPr>
                <w:rFonts w:ascii="Times New Roman" w:hAnsi="Times New Roman" w:eastAsia="宋体"/>
                <w:b w:val="0"/>
                <w:sz w:val="19"/>
              </w:rPr>
              <w:t>2013原始版官方PDF（276页）</w:t>
            </w:r>
          </w:p>
        </w:tc>
        <w:tc>
          <w:tcPr>
            <w:tcW w:w="2835" w:type="dxa"/>
          </w:tcPr>
          <w:p w14:paraId="2192D0BE">
            <w:pPr>
              <w:spacing w:after="0" w:line="240" w:lineRule="auto"/>
            </w:pPr>
            <w:r>
              <w:rPr>
                <w:rFonts w:ascii="Times New Roman" w:hAnsi="Times New Roman" w:eastAsia="宋体"/>
                <w:b w:val="0"/>
                <w:sz w:val="19"/>
              </w:rPr>
              <w:t>218a94f7b328d4c3e9b0221f5c560ff3</w:t>
            </w:r>
          </w:p>
        </w:tc>
      </w:tr>
      <w:tr w14:paraId="3424AEC6">
        <w:trPr>
          <w:jc w:val="center"/>
        </w:trPr>
        <w:tc>
          <w:tcPr>
            <w:tcW w:w="3742" w:type="dxa"/>
          </w:tcPr>
          <w:p w14:paraId="5F71C18B">
            <w:pPr>
              <w:spacing w:after="0" w:line="240" w:lineRule="auto"/>
            </w:pPr>
            <w:r>
              <w:rPr>
                <w:rFonts w:ascii="Times New Roman" w:hAnsi="Times New Roman" w:eastAsia="宋体"/>
                <w:b w:val="0"/>
                <w:sz w:val="19"/>
              </w:rPr>
              <w:t>IFSA2013_Act759_AGC_revised2021.pdf</w:t>
            </w:r>
          </w:p>
        </w:tc>
        <w:tc>
          <w:tcPr>
            <w:tcW w:w="4195" w:type="dxa"/>
          </w:tcPr>
          <w:p w14:paraId="69273232">
            <w:pPr>
              <w:spacing w:after="0" w:line="240" w:lineRule="auto"/>
            </w:pPr>
            <w:r>
              <w:rPr>
                <w:rFonts w:ascii="Times New Roman" w:hAnsi="Times New Roman" w:eastAsia="宋体"/>
                <w:b w:val="0"/>
                <w:sz w:val="19"/>
              </w:rPr>
              <w:t>2021现行合订版官方PDF（309页，建议主用）</w:t>
            </w:r>
          </w:p>
        </w:tc>
        <w:tc>
          <w:tcPr>
            <w:tcW w:w="2835" w:type="dxa"/>
          </w:tcPr>
          <w:p w14:paraId="1F7D3C89">
            <w:pPr>
              <w:spacing w:after="0" w:line="240" w:lineRule="auto"/>
            </w:pPr>
            <w:r>
              <w:rPr>
                <w:rFonts w:ascii="Times New Roman" w:hAnsi="Times New Roman" w:eastAsia="宋体"/>
                <w:b w:val="0"/>
                <w:sz w:val="19"/>
              </w:rPr>
              <w:t>c74b2925949ad6458fc544d1c0f1272e</w:t>
            </w:r>
          </w:p>
        </w:tc>
      </w:tr>
      <w:tr w14:paraId="631034DF">
        <w:trPr>
          <w:jc w:val="center"/>
        </w:trPr>
        <w:tc>
          <w:tcPr>
            <w:tcW w:w="3742" w:type="dxa"/>
          </w:tcPr>
          <w:p w14:paraId="6E34CE8E">
            <w:pPr>
              <w:spacing w:after="0" w:line="240" w:lineRule="auto"/>
            </w:pPr>
            <w:r>
              <w:rPr>
                <w:rFonts w:ascii="Times New Roman" w:hAnsi="Times New Roman" w:eastAsia="宋体"/>
                <w:b w:val="0"/>
                <w:sz w:val="19"/>
              </w:rPr>
              <w:t>IFSA2013_riba利息禁止条款_中文采集记录.docx</w:t>
            </w:r>
          </w:p>
        </w:tc>
        <w:tc>
          <w:tcPr>
            <w:tcW w:w="4195" w:type="dxa"/>
          </w:tcPr>
          <w:p w14:paraId="0ABC976B">
            <w:pPr>
              <w:spacing w:after="0" w:line="240" w:lineRule="auto"/>
            </w:pPr>
            <w:r>
              <w:rPr>
                <w:rFonts w:ascii="Times New Roman" w:hAnsi="Times New Roman" w:eastAsia="宋体"/>
                <w:b w:val="0"/>
                <w:sz w:val="19"/>
              </w:rPr>
              <w:t>本中文记录</w:t>
            </w:r>
          </w:p>
        </w:tc>
        <w:tc>
          <w:tcPr>
            <w:tcW w:w="2835" w:type="dxa"/>
          </w:tcPr>
          <w:p w14:paraId="76C2E231">
            <w:pPr>
              <w:spacing w:after="0" w:line="240" w:lineRule="auto"/>
            </w:pPr>
            <w:r>
              <w:rPr>
                <w:rFonts w:ascii="Times New Roman" w:hAnsi="Times New Roman" w:eastAsia="宋体"/>
                <w:b w:val="0"/>
                <w:sz w:val="19"/>
              </w:rPr>
              <w:t>—</w:t>
            </w:r>
          </w:p>
        </w:tc>
      </w:tr>
    </w:tbl>
    <w:p w14:paraId="15244697">
      <w:pPr>
        <w:spacing w:after="80"/>
      </w:pPr>
      <w:r>
        <w:rPr>
          <w:rFonts w:ascii="Times New Roman" w:hAnsi="Times New Roman" w:eastAsia="宋体"/>
          <w:b w:val="0"/>
          <w:i/>
          <w:color w:val="666666"/>
          <w:sz w:val="18"/>
        </w:rPr>
        <w:t>（SAC 裁决汇编英文第二版因 BNM 官网在当前网络环境无法直连下载，未随附本地文件；请用第六部分的 BNM 官方 URL 自行下载。）</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FZXiaoBiaoSong-B05S">
    <w:panose1 w:val="02010601030101010101"/>
    <w:charset w:val="86"/>
    <w:family w:val="auto"/>
    <w:pitch w:val="default"/>
    <w:sig w:usb0="00000001" w:usb1="080E0000" w:usb2="00000000" w:usb3="00000000" w:csb0="00040000" w:csb1="00000000"/>
  </w:font>
  <w:font w:name="Kaiti SC">
    <w:panose1 w:val="02010600040101010101"/>
    <w:charset w:val="86"/>
    <w:family w:val="auto"/>
    <w:pitch w:val="default"/>
    <w:sig w:usb0="80000287" w:usb1="280F3C52" w:usb2="00000016" w:usb3="00000000" w:csb0="0004001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773F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刘金羽</cp:lastModifiedBy>
  <dcterms:modified xsi:type="dcterms:W3CDTF">2026-09-14T13:24:55Z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14A0B5C0139CAE992785A76A8289016A_42</vt:lpwstr>
  </property>
</Properties>
</file>