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Lawyance 管辖库工作协调规范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数据库工具调用 · 接口协议统一 · 对接清单</w:t>
        <w:br/>
        <w:t>（致：大陆法系 / 普通法系数据库负责人）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0"/>
        </w:rPr>
        <w:t>编制：伊斯兰法系数据库负责人（兼数据库工作协调）</w:t>
        <w:br/>
        <w:t>版本：v1.0 日期：2026-09-16 仓库：Lawyance</w:t>
        <w:br/>
        <w:t>适用范围：各管辖库（PRC 主库已落地；伊斯兰库已就绪；大陆法系 / 普通法系在建）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一、背景与分工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Lawyance 采用「按法系/管辖分库建设 + 总装统一接线」模式。各管辖库负责人只负责本库语料清洗、索引与检索接口；LLM 工具注册与 Agent 总装由专门同学完成，管辖库侧不得擅自改动总装入口。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已落地参考：中国法主库 RAG/law_data_search.py（已接入 tools/mcps）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已就绪样板：伊斯兰法系横切库 RAG/islamic_law/（接口齐备，尚未改 tools；总装后接）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待建设：大陆法系数据库、普通法系数据库（请按本文统一协议对齐）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协调人职责：统一工具调用约定、检索 envelope、字段协议、自测与交接标准</w:t>
      </w:r>
    </w:p>
    <w:p>
      <w:pPr>
        <w:pStyle w:val="Heading2"/>
      </w:pPr>
      <w:r>
        <w:rPr>
          <w:rFonts w:ascii="黑体" w:hAnsi="黑体" w:eastAsia="黑体"/>
          <w:sz w:val="28"/>
        </w:rPr>
        <w:t>1.1 各方职责边界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负责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不负责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管辖库负责人（各位）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语料、schema、种子、exact/fuzzy/link 检索、INTERFACE/冒烟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不改 tools/__init__.py、mcps.py、function_calling.py；不擅自注册 LLM 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数据库协调（本人）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协议统一、样板维护、跨库对齐评审、与总装沟通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不代替各位写完本国全部语料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总装 / Agent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把各库检索接到工具层与对话流程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不直接改各管辖库内部语料结构（经协调同意除外）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二、统一数据库工具调用约定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「工具调用」分两层：① 管辖库 Python API（各位必须实现）；② 面向 LLM 的 Tool（仅总装注册）。各位先完成第①层，保证总装可无痛接线。</w:t>
      </w:r>
    </w:p>
    <w:p>
      <w:pPr>
        <w:pStyle w:val="Heading2"/>
      </w:pPr>
      <w:r>
        <w:rPr>
          <w:rFonts w:ascii="黑体" w:hAnsi="黑体" w:eastAsia="黑体"/>
          <w:sz w:val="28"/>
        </w:rPr>
        <w:t>2.1 管辖库必须对外暴露的 Python API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包路径建议：RAG/&lt;juris_pkg&gt;/，并在 __init__.py 中 re-export。命名与主库/伊斯兰库对齐：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函数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签名（约定）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ensure_&lt;name&gt;_database_ready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(*, force_rebuild: bool=False) -&gt; dict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缺库/指纹变化时自动重建；引擎初始化须调用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exact_search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(title: str, article_number: str) -&gt; str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法名+条款精确命中；返回 JSON 字符串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fuzzy_search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(query: str, limit: int=5) -&gt; str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关键词模糊检索；limit 建议钳制 1…20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semantic_search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(query: str, limit: int=5) -&gt; str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可选别名，须与 fuzzy_search 等价（伊斯兰库已如此）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link_search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(message: str, limit: int=5) -&gt; str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从自然语言抽引用：先 exact 再 fuzzy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reset_engine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() -&gt; None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测试换库后清空单例（强烈建议提供）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返回类型硬性约定：三个检索函数一律返回 JSON 字符串（json.dumps(..., ensure_ascii=False)），由调用方 json.loads。</w:t>
      </w:r>
    </w:p>
    <w:p>
      <w:pPr>
        <w:pStyle w:val="Heading2"/>
      </w:pPr>
      <w:r>
        <w:rPr>
          <w:rFonts w:ascii="黑体" w:hAnsi="黑体" w:eastAsia="黑体"/>
          <w:sz w:val="28"/>
        </w:rPr>
        <w:t>2.2 与总装 LLM 工具的对应关系（供理解，勿自行注册）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当前 PRC 主库已注册的工具名与映射如下（见 tools/__init__.py → mcp/pkulaw_client.py）：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LLM 工具名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入参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背后调用的主库 API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总装侧常用输出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get_article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title, number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law_exact_search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{success, title, content, url}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search_article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query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law_fuzzy_search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{success, result: 文本}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get_linked_content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message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law_link_search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{success, text}</w:t>
            </w:r>
          </w:p>
        </w:tc>
      </w:tr>
    </w:tbl>
    <w:p/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各位管辖库只需保证 exact/fuzzy/link 的 envelope 与核心字段兼容上述适配逻辑。伊斯兰库、大陆法系、普通法系的工具名与是否分库注册，由总装与协调人另行排期；在此之前禁止改 tools/mcps。</w:t>
      </w:r>
    </w:p>
    <w:p>
      <w:pPr>
        <w:pStyle w:val="Heading2"/>
      </w:pPr>
      <w:r>
        <w:rPr>
          <w:rFonts w:ascii="黑体" w:hAnsi="黑体" w:eastAsia="黑体"/>
          <w:sz w:val="28"/>
        </w:rPr>
        <w:t>2.3 禁止事项（红线）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禁止修改 tools/__init__.py、mcps.py、function_calling.py、mcp/pkulaw_client.py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禁止擅自新增或改名 LLM Tool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禁止把本法系语料硬塞进 RAG/cache/law.db（除非总装明确同意改主库 schema）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禁止编造未核验的法条/判例编号；未核验处标注「待核验」</w:t>
      </w:r>
    </w:p>
    <w:p>
      <w:pPr>
        <w:pStyle w:val="Heading1"/>
      </w:pPr>
      <w:r>
        <w:rPr>
          <w:rFonts w:ascii="黑体" w:hAnsi="黑体" w:eastAsia="黑体"/>
          <w:sz w:val="32"/>
        </w:rPr>
        <w:t>三、统一数据库接口协议（Envelope + 字段）</w:t>
      </w:r>
    </w:p>
    <w:p>
      <w:pPr>
        <w:pStyle w:val="Heading2"/>
      </w:pPr>
      <w:r>
        <w:rPr>
          <w:rFonts w:ascii="黑体" w:hAnsi="黑体" w:eastAsia="黑体"/>
          <w:sz w:val="28"/>
        </w:rPr>
        <w:t>3.1 通用 Envelope（所有管辖库必须一致）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A. exact_search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{"success": true|false, "message": "...", "data": {命中对象} | null, "search_time": 0.0}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B. fuzzy_search / semantic_search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{"success": true|false, "message": "...", "data": [命中对象...], "total_count": N, "returned_count": M, "search_time": 0.0}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C. link_search（必须同时满足主库兼容 + 推荐增强）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必有：success, message, text（多行可读引用）, references（精简列表）, search_time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references[] 每项至少：title, article_number, url, content（对齐主库 law_link_search）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强烈建议额外返回 data：完整命中对象列表（伊斯兰库已做；总装/调试更友好）</w:t>
      </w:r>
    </w:p>
    <w:p>
      <w:pPr>
        <w:pStyle w:val="Heading2"/>
      </w:pPr>
      <w:r>
        <w:rPr>
          <w:rFonts w:ascii="黑体" w:hAnsi="黑体" w:eastAsia="黑体"/>
          <w:sz w:val="28"/>
        </w:rPr>
        <w:t>3.2 命中对象 — 统一必填字段（四核心）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无论大陆法系还是普通法系，每条命中至少包含：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law_name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法规/判例汇编/文件检索主名称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exact 的 title 与此对齐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article_number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条款/章节/段落定位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可空字符串，但不缺字段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正文或权威摘录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检索主文本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可核验来源链接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无链接时用空串，勿省略键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3.3 命中对象 — 强烈建议统一字段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rule_id / source_id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本库唯一 ID / 采集追踪号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便于回归测试与溯源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in_force / repealed / amended / unknown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效力状态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effective_date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YYYY-MM-DD 或空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生效/裁判日期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 / zh / 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权威文本语言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country / country_label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国家码与显示名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跨国库必填；单国库也建议填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jurisdiction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管辖显示名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可与 country_label 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legal_system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civil / common / islamic / 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便于总装路由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3.4 命中对象 — 法系扩展字段（可各自增加，勿破坏必填）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大陆法系（示例，可裁剪）：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legal_hierarchy（宪法/法律/行政法规/地方性法规等）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promulgating_body（制定机关）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category / subject_matter（部门法分类）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amendment_chain / supersedes（修订废止链）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普通法系（示例，可裁剪）：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case_name / citation（判例名与平行引用）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court / year / reporter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holding / ratio / obiter（若分开存）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precedential_status（binding / persuasive 等）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伊斯兰法系已实现扩展（对照样板）：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legal_effect（binding / regulated-fatwa / religious-guidance）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sharia_principle_id、madhhab、fatwa_issuer/fatwa_id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applicability_person / subject / territory（属人属事属地）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principle 嵌套摘要；rules_by_principle 反查 API</w:t>
      </w:r>
    </w:p>
    <w:p>
      <w:pPr>
        <w:pStyle w:val="Heading2"/>
      </w:pPr>
      <w:r>
        <w:rPr>
          <w:rFonts w:ascii="黑体" w:hAnsi="黑体" w:eastAsia="黑体"/>
          <w:sz w:val="28"/>
        </w:rPr>
        <w:t>3.5 ensure_*_database_ready 返回约定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返回 dict（不是 JSON 字符串）。至少包含：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mode 或等价状态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 reuse/seed，或 unchanged/full/incremental（主库）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content_sha256 或指纹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语料变更检测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db_path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强烈建议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schema_version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强烈建议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四、工程落地约定（目录 / 库文件 / 指纹）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新建包：RAG/&lt;pkg&gt;/（例如将来 RAG/civil_law/、RAG/common_law/）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语料：RAG/&lt;pkg&gt;/data/**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库文件：RAG/&lt;pkg&gt;/cache/&lt;name&gt;.db（独立库，不并入 law.db）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指纹：对 schema + data 做 content hash；变更才重建（对齐主库与伊斯兰库）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文档三件套：README.md（边界与命令）、INTERFACE.md（接口）、BUILD.md（清单/待核验/问题）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冒烟脚本：scripts/assembly_smoke_cases.py（或同名），仓库根目录可独立运行，退出码 0=通过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参考实现路径：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主库协议源头：RAG/law_data_search.py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分库样板（推荐抄结构）：RAG/islamic_law/（INTERFACE.md / BUILD.md / search.py / scripts/）</w:t>
      </w:r>
    </w:p>
    <w:p>
      <w:pPr>
        <w:pStyle w:val="Heading1"/>
      </w:pPr>
      <w:r>
        <w:rPr>
          <w:rFonts w:ascii="黑体" w:hAnsi="黑体" w:eastAsia="黑体"/>
          <w:sz w:val="32"/>
        </w:rPr>
        <w:t>五、自测与对接验收清单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每位管辖库交付「可对接」状态前，请自行跑通至少下列冒烟（伊斯兰库 5.2 样例）：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期望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ensure_*_database_ready()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成功；mode 为 reuse 或 seed/rebuild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exact_search(已知法名, 已知条款)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success=true；data 含四核心字段；rule_id 符合预期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fuzzy_search/semantic_search(自然语言)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data 非空；中文 query 能命中（若语料含中文导读/主题）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link_search(自然语言)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success=true；references 非空；建议同时有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本法系特有健全性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如国家过滤、原则反查、citation 解析等（自定 1 条）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六、其他协调事项（补充）</w:t>
      </w:r>
    </w:p>
    <w:p>
      <w:pPr>
        <w:pStyle w:val="Heading2"/>
      </w:pPr>
      <w:r>
        <w:rPr>
          <w:rFonts w:ascii="黑体" w:hAnsi="黑体" w:eastAsia="黑体"/>
          <w:sz w:val="28"/>
        </w:rPr>
        <w:t>6.1 权威文本语言与译文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权威语言文本优先入库；中文可为导读，须在字段或注释中声明「不得以译文替代原文」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普通法系默认英文权威；大陆法系按国别确定（德/法/日等）</w:t>
      </w:r>
    </w:p>
    <w:p>
      <w:pPr>
        <w:pStyle w:val="Heading2"/>
      </w:pPr>
      <w:r>
        <w:rPr>
          <w:rFonts w:ascii="黑体" w:hAnsi="黑体" w:eastAsia="黑体"/>
          <w:sz w:val="28"/>
        </w:rPr>
        <w:t>6.2 引用与合规表述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输出须可溯源（url 或本地 PDF+provenance）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效力层次写清：生效法律 / 判例拘束力 / 仅学术或宗教指导，避免误导用户</w:t>
      </w:r>
    </w:p>
    <w:p>
      <w:pPr>
        <w:pStyle w:val="Heading2"/>
      </w:pPr>
      <w:r>
        <w:rPr>
          <w:rFonts w:ascii="黑体" w:hAnsi="黑体" w:eastAsia="黑体"/>
          <w:sz w:val="28"/>
        </w:rPr>
        <w:t>6.3 变更与联调流程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接口字段变更：先在本群/协调人处同步，再改 INTERFACE.md，最后通知总装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大版本 schema 变更：升 schema_version，并保证 ensure_* 能检测并重建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联调排期：管辖库冒烟全绿 → 协调人确认 envelope → 总装注册工具</w:t>
      </w:r>
    </w:p>
    <w:p>
      <w:pPr>
        <w:pStyle w:val="Heading2"/>
      </w:pPr>
      <w:r>
        <w:rPr>
          <w:rFonts w:ascii="黑体" w:hAnsi="黑体" w:eastAsia="黑体"/>
          <w:sz w:val="28"/>
        </w:rPr>
        <w:t>6.4 分支与提交建议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各法系使用独立功能分支；里程碑提交信息写清「正式条目数量与主题」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不提交含密钥的 .env；大 PDF 可放 sources/ 并写 MD5/provenance</w:t>
      </w:r>
    </w:p>
    <w:p>
      <w:pPr>
        <w:pStyle w:val="Heading2"/>
      </w:pPr>
      <w:r>
        <w:rPr>
          <w:rFonts w:ascii="黑体" w:hAnsi="黑体" w:eastAsia="黑体"/>
          <w:sz w:val="28"/>
        </w:rPr>
        <w:t>6.5 沟通接口人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数据库工作协调 / 伊斯兰库：请通过本仓库 Issue 或项目既定群联系协调人。总装接线问题请同时抄送总装负责人。本文档随协议演进可发 v1.1。</w:t>
      </w:r>
    </w:p>
    <w:p>
      <w:pPr>
        <w:pStyle w:val="Heading1"/>
      </w:pPr>
      <w:r>
        <w:rPr>
          <w:rFonts w:ascii="黑体" w:hAnsi="黑体" w:eastAsia="黑体"/>
          <w:sz w:val="32"/>
        </w:rPr>
        <w:t>七、给两位同学的落地建议（最短路径）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大陆法系同学 / 普通法系同学可按下列顺序开工：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阅读 RAG/law_data_search.py 的三个 envelope + RAG/islamic_law/INTERFACE.md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复制 islamic_law 包骨架，改名为本法系包；删掉伊斯兰专用字段，换上本法系扩展字段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先入库 5–10 条「正式」样例（含 url），实现 exact/fuzzy/link + ensure_*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写 INTERFACE.md + assembly_smoke_cases，本地 ALL_PASS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  <w:sz w:val="22"/>
        </w:rPr>
        <w:t>把冒烟报告与 INTERFACE 发给协调人，预约总装接线（仍不改 tools）</w:t>
      </w:r>
    </w:p>
    <w:p>
      <w:pPr>
        <w:pStyle w:val="Heading1"/>
      </w:pPr>
      <w:r>
        <w:rPr>
          <w:rFonts w:ascii="黑体" w:hAnsi="黑体" w:eastAsia="黑体"/>
          <w:sz w:val="32"/>
        </w:rPr>
        <w:t>八、附录：伊斯兰库已验证的关键命令（样板）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在仓库根目录、使用项目 .venv：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.venv/bin/python -m RAG.islamic_law.scripts.insert_riba_sample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.venv/bin/python -m RAG.islamic_law.scripts.assembly_smoke_cases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文档：RAG/islamic_law/INTERFACE.md 、BUILD.md 、README.md</w:t>
      </w:r>
    </w:p>
    <w:p>
      <w:r>
        <w:rPr>
          <w:rFonts w:ascii="宋体" w:hAnsi="宋体" w:eastAsia="宋体"/>
          <w:b w:val="0"/>
          <w:color w:val="333333"/>
          <w:sz w:val="20"/>
        </w:rPr>
        <w:br/>
        <w:t>— 文档结束 —</w:t>
        <w:br/>
        <w:t>请两位同学确认：① 是否按本协议建包；② 预计首批正式条目主题与数量；③ 需要协调人支持的差异点（例如判例 citation 解析）。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