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0" w:before="0" w:line="240" w:lineRule="auto"/>
        <w:jc w:val="both"/>
        <w:rPr>
          <w:rFonts w:ascii="Times New Roman" w:cs="Times New Roman" w:eastAsia="Times New Roman" w:hAnsi="Times New Roman"/>
          <w:b w:val="1"/>
          <w:bCs w:val="1"/>
          <w:color w:val="08122b"/>
          <w:sz w:val="22"/>
          <w:szCs w:val="22"/>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sz w:val="22"/>
          <w:szCs w:val="22"/>
          <w:rtl w:val="0"/>
        </w:rPr>
        <w:t xml:space="preserve">Levine Professional Corporation</w:t>
      </w:r>
    </w:p>
    <w:p w:rsidR="00000000" w:rsidDel="00000000" w:rsidP="00000000" w:rsidRDefault="00000000" w:rsidRPr="00000000" w14:paraId="00000002">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line="240" w:lineRule="auto"/>
        <w:jc w:val="both"/>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line="240" w:lineRule="auto"/>
        <w:jc w:val="both"/>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x1qg1c30zmid" w:id="1"/>
      <w:bookmarkEnd w:id="1"/>
      <w:r w:rsidDel="00000000" w:rsidR="00000000" w:rsidRPr="00000000">
        <w:rPr>
          <w:rtl w:val="0"/>
        </w:rPr>
        <w:t xml:space="preserve">Contract Law Practice - Substantive Principles</w:t>
      </w:r>
      <w:r w:rsidDel="00000000" w:rsidR="00000000" w:rsidRPr="00000000">
        <w:rPr>
          <w:rtl w:val="0"/>
        </w:rPr>
      </w:r>
    </w:p>
    <w:p w:rsidR="00000000" w:rsidDel="00000000" w:rsidP="00000000" w:rsidRDefault="00000000" w:rsidRPr="00000000" w14:paraId="00000009">
      <w:pPr>
        <w:pStyle w:val="Heading1"/>
        <w:rPr/>
      </w:pPr>
      <w:bookmarkStart w:colFirst="0" w:colLast="0" w:name="_lne3kl2wc6hr" w:id="2"/>
      <w:bookmarkEnd w:id="2"/>
      <w:r w:rsidDel="00000000" w:rsidR="00000000" w:rsidRPr="00000000">
        <w:rPr>
          <w:rtl w:val="0"/>
        </w:rPr>
      </w:r>
    </w:p>
    <w:p w:rsidR="00000000" w:rsidDel="00000000" w:rsidP="00000000" w:rsidRDefault="00000000" w:rsidRPr="00000000" w14:paraId="0000000A">
      <w:pPr>
        <w:pStyle w:val="Heading2"/>
        <w:rPr/>
      </w:pPr>
      <w:bookmarkStart w:colFirst="0" w:colLast="0" w:name="_89pvmtmqztaw" w:id="3"/>
      <w:bookmarkEnd w:id="3"/>
      <w:r w:rsidDel="00000000" w:rsidR="00000000" w:rsidRPr="00000000">
        <w:rPr>
          <w:rtl w:val="0"/>
        </w:rPr>
        <w:t xml:space="preserve">Offer and Acceptance </w:t>
      </w:r>
    </w:p>
    <w:p w:rsidR="00000000" w:rsidDel="00000000" w:rsidP="00000000" w:rsidRDefault="00000000" w:rsidRPr="00000000" w14:paraId="0000000B">
      <w:pPr>
        <w:rPr/>
      </w:pPr>
      <w:r w:rsidDel="00000000" w:rsidR="00000000" w:rsidRPr="00000000">
        <w:rPr>
          <w:rtl w:val="0"/>
        </w:rPr>
        <w:t xml:space="preserve">Offer and acceptance are generally recognized as essential requirements for the formation of a contract (together with other elements such as consideration and legal capacity). </w:t>
      </w:r>
    </w:p>
    <w:p w:rsidR="00000000" w:rsidDel="00000000" w:rsidP="00000000" w:rsidRDefault="00000000" w:rsidRPr="00000000" w14:paraId="0000000C">
      <w:pPr>
        <w:rPr/>
      </w:pPr>
      <w:r w:rsidDel="00000000" w:rsidR="00000000" w:rsidRPr="00000000">
        <w:rPr>
          <w:rtl w:val="0"/>
        </w:rPr>
        <w:t xml:space="preserve">Analysis of offer and acceptance is a traditional approach in contract law. This classical approach to contract formation was, from time to time, modified by developments in respect of i) estoppel, ii) misleading conduct, iii) misrepresentation, iv) unjust enrichment, and v) power of acceptance.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213pf74hnv8r" w:id="4"/>
      <w:bookmarkEnd w:id="4"/>
      <w:r w:rsidDel="00000000" w:rsidR="00000000" w:rsidRPr="00000000">
        <w:rPr>
          <w:rtl w:val="0"/>
        </w:rPr>
        <w:t xml:space="preserve">Consideration</w:t>
      </w:r>
    </w:p>
    <w:p w:rsidR="00000000" w:rsidDel="00000000" w:rsidP="00000000" w:rsidRDefault="00000000" w:rsidRPr="00000000" w14:paraId="00000011">
      <w:pPr>
        <w:rPr/>
      </w:pPr>
      <w:r w:rsidDel="00000000" w:rsidR="00000000" w:rsidRPr="00000000">
        <w:rPr>
          <w:rtl w:val="0"/>
        </w:rPr>
        <w:t xml:space="preserve">Cannot have acceptance without consideration </w:t>
      </w:r>
    </w:p>
    <w:p w:rsidR="00000000" w:rsidDel="00000000" w:rsidP="00000000" w:rsidRDefault="00000000" w:rsidRPr="00000000" w14:paraId="00000012">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before="200" w:line="312" w:lineRule="auto"/>
      <w:ind w:left="5760" w:hanging="5760"/>
      <w:rPr/>
    </w:pPr>
    <w:r w:rsidDel="00000000" w:rsidR="00000000" w:rsidRPr="00000000">
      <w:rPr>
        <w:rFonts w:ascii="Proxima Nova" w:cs="Proxima Nova" w:eastAsia="Proxima Nova" w:hAnsi="Proxima Nova"/>
        <w:color w:val="353744"/>
      </w:rPr>
      <w:drawing>
        <wp:inline distB="114300" distT="114300" distL="114300" distR="114300">
          <wp:extent cx="1714302" cy="9255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14302" cy="9255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80" w:line="413.33327999999995"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after="240" w:before="240" w:line="240" w:lineRule="auto"/>
      <w:jc w:val="both"/>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20" w:line="240" w:lineRule="auto"/>
      <w:jc w:val="both"/>
    </w:pPr>
    <w:rPr>
      <w:rFonts w:ascii="Proxima Nova" w:cs="Proxima Nova" w:eastAsia="Proxima Nova" w:hAnsi="Proxima Nova"/>
      <w:color w:val="353744"/>
      <w:sz w:val="72"/>
      <w:szCs w:val="7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