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rFonts w:ascii="Verdana" w:cs="Verdana" w:eastAsia="Verdana" w:hAnsi="Verdana"/>
          <w:color w:val="212121"/>
          <w:sz w:val="18"/>
          <w:szCs w:val="18"/>
          <w:u w:val="single"/>
        </w:rPr>
      </w:pPr>
      <w:bookmarkStart w:colFirst="0" w:colLast="0" w:name="_x1qg1c30zmid" w:id="1"/>
      <w:bookmarkEnd w:id="1"/>
      <w:r w:rsidDel="00000000" w:rsidR="00000000" w:rsidRPr="00000000">
        <w:rPr>
          <w:rtl w:val="0"/>
        </w:rPr>
        <w:t xml:space="preserve">Contract Law Practice - Substantive Principles</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u w:val="single"/>
        </w:rPr>
      </w:pPr>
      <w:r w:rsidDel="00000000" w:rsidR="00000000" w:rsidRPr="00000000">
        <w:rPr>
          <w:rtl w:val="0"/>
        </w:rPr>
      </w:r>
    </w:p>
    <w:p w:rsidR="00000000" w:rsidDel="00000000" w:rsidP="00000000" w:rsidRDefault="00000000" w:rsidRPr="00000000" w14:paraId="0000000A">
      <w:pPr>
        <w:pStyle w:val="Heading2"/>
        <w:rPr>
          <w:rFonts w:ascii="Verdana" w:cs="Verdana" w:eastAsia="Verdana" w:hAnsi="Verdana"/>
          <w:color w:val="212121"/>
          <w:sz w:val="18"/>
          <w:szCs w:val="18"/>
          <w:u w:val="single"/>
        </w:rPr>
      </w:pPr>
      <w:bookmarkStart w:colFirst="0" w:colLast="0" w:name="_5c3ef5vwvqt6" w:id="2"/>
      <w:bookmarkEnd w:id="2"/>
      <w:r w:rsidDel="00000000" w:rsidR="00000000" w:rsidRPr="00000000">
        <w:rPr>
          <w:rtl w:val="0"/>
        </w:rPr>
        <w:t xml:space="preserve">Warranties </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Fonts w:ascii="Verdana" w:cs="Verdana" w:eastAsia="Verdana" w:hAnsi="Verdana"/>
          <w:color w:val="212121"/>
          <w:sz w:val="18"/>
          <w:szCs w:val="18"/>
          <w:rtl w:val="0"/>
        </w:rPr>
        <w:t xml:space="preserve">A warranty is a promise that an assertion of fact,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a representation, is true. If a contractual warranty is not true, the party that provided the warranty will have breached the applicable agreement and the recipient may be entitled to compensation for any damages incurred in connection therewith.</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