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240" w:lineRule="auto"/>
        <w:ind w:righ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Dear Mr </w:t>
      </w:r>
      <w:r w:rsidDel="00000000" w:rsidR="00000000" w:rsidRPr="00000000">
        <w:rPr>
          <w:rtl w:val="0"/>
        </w:rPr>
        <w:t xml:space="preserve">Sancillo</w:t>
      </w:r>
      <w:r w:rsidDel="00000000" w:rsidR="00000000" w:rsidRPr="00000000">
        <w:rPr>
          <w:rtl w:val="0"/>
        </w:rPr>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righ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d4771"/>
          <w:sz w:val="24"/>
          <w:szCs w:val="24"/>
          <w:rtl w:val="0"/>
        </w:rPr>
        <w:t xml:space="preserve">RE: Securities Compliance - Discussion</w:t>
      </w: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Thank for taking the time to meet last week. </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t xml:space="preserve">I’ve prepared this letter to summarize the most relevant legal services my firm would be able to provide Lobe Science as a </w:t>
      </w:r>
      <w:r w:rsidDel="00000000" w:rsidR="00000000" w:rsidRPr="00000000">
        <w:rPr>
          <w:rtl w:val="0"/>
        </w:rPr>
        <w:t xml:space="preserve">CSE-listed small-cap issuer</w:t>
      </w:r>
      <w:r w:rsidDel="00000000" w:rsidR="00000000" w:rsidRPr="00000000">
        <w:rPr>
          <w:rtl w:val="0"/>
        </w:rPr>
        <w:t xml:space="preserve"> seeking ongoing compliance support and advice.  </w:t>
      </w:r>
      <w:r w:rsidDel="00000000" w:rsidR="00000000" w:rsidRPr="00000000">
        <w:rPr>
          <w:rtl w:val="0"/>
        </w:rPr>
      </w:r>
    </w:p>
    <w:p w:rsidR="00000000" w:rsidDel="00000000" w:rsidP="00000000" w:rsidRDefault="00000000" w:rsidRPr="00000000" w14:paraId="00000005">
      <w:pPr>
        <w:pStyle w:val="Heading4"/>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Times New Roman" w:cs="Times New Roman" w:eastAsia="Times New Roman" w:hAnsi="Times New Roman"/>
          <w:color w:val="000000"/>
          <w:u w:val="single"/>
        </w:rPr>
      </w:pPr>
      <w:bookmarkStart w:colFirst="0" w:colLast="0" w:name="_j5es50lgxv3s" w:id="0"/>
      <w:bookmarkEnd w:id="0"/>
      <w:r w:rsidDel="00000000" w:rsidR="00000000" w:rsidRPr="00000000">
        <w:rPr>
          <w:rFonts w:ascii="Times New Roman" w:cs="Times New Roman" w:eastAsia="Times New Roman" w:hAnsi="Times New Roman"/>
          <w:color w:val="000000"/>
          <w:u w:val="single"/>
          <w:rtl w:val="0"/>
        </w:rPr>
        <w:t xml:space="preserve">Strategy</w:t>
      </w:r>
    </w:p>
    <w:p w:rsidR="00000000" w:rsidDel="00000000" w:rsidP="00000000" w:rsidRDefault="00000000" w:rsidRPr="00000000" w14:paraId="00000006">
      <w:pPr>
        <w:rPr/>
      </w:pPr>
      <w:r w:rsidDel="00000000" w:rsidR="00000000" w:rsidRPr="00000000">
        <w:rPr>
          <w:rtl w:val="0"/>
        </w:rPr>
        <w:t xml:space="preserve">If engaged, my firm’s priorities would be threefold</w:t>
      </w:r>
    </w:p>
    <w:p w:rsidR="00000000" w:rsidDel="00000000" w:rsidP="00000000" w:rsidRDefault="00000000" w:rsidRPr="00000000" w14:paraId="00000007">
      <w:pPr>
        <w:numPr>
          <w:ilvl w:val="0"/>
          <w:numId w:val="3"/>
        </w:numPr>
        <w:spacing w:after="0" w:afterAutospacing="0" w:before="240" w:line="312" w:lineRule="auto"/>
        <w:ind w:left="720" w:hanging="360"/>
        <w:rPr>
          <w:rFonts w:ascii="Proxima Nova" w:cs="Proxima Nova" w:eastAsia="Proxima Nova" w:hAnsi="Proxima Nova"/>
          <w:color w:val="353744"/>
          <w:u w:val="none"/>
        </w:rPr>
      </w:pPr>
      <w:r w:rsidDel="00000000" w:rsidR="00000000" w:rsidRPr="00000000">
        <w:rPr>
          <w:rFonts w:ascii="Times New Roman" w:cs="Times New Roman" w:eastAsia="Times New Roman" w:hAnsi="Times New Roman"/>
          <w:b w:val="1"/>
          <w:bCs w:val="1"/>
          <w:color w:val="353744"/>
          <w:rtl w:val="0"/>
        </w:rPr>
        <w:t xml:space="preserve">Live Compliance Tracker</w:t>
      </w:r>
      <w:r w:rsidDel="00000000" w:rsidR="00000000" w:rsidRPr="00000000">
        <w:rPr>
          <w:rFonts w:ascii="Times New Roman" w:cs="Times New Roman" w:eastAsia="Times New Roman" w:hAnsi="Times New Roman"/>
          <w:color w:val="353744"/>
          <w:rtl w:val="0"/>
        </w:rPr>
        <w:t xml:space="preserve">: even if working remotely it is important that we have a single shared source of truth. My firm is prepared to work with Lobe Sciences to formalize a shared compliance tracker covering:</w:t>
      </w:r>
      <w:r w:rsidDel="00000000" w:rsidR="00000000" w:rsidRPr="00000000">
        <w:rPr>
          <w:rtl w:val="0"/>
        </w:rPr>
      </w:r>
    </w:p>
    <w:p w:rsidR="00000000" w:rsidDel="00000000" w:rsidP="00000000" w:rsidRDefault="00000000" w:rsidRPr="00000000" w14:paraId="00000008">
      <w:pPr>
        <w:numPr>
          <w:ilvl w:val="1"/>
          <w:numId w:val="3"/>
        </w:numPr>
        <w:spacing w:after="0" w:afterAutospacing="0" w:before="0" w:beforeAutospacing="0" w:line="312" w:lineRule="auto"/>
        <w:ind w:left="1440" w:hanging="360"/>
        <w:rPr>
          <w:color w:val="353744"/>
        </w:rPr>
      </w:pPr>
      <w:r w:rsidDel="00000000" w:rsidR="00000000" w:rsidRPr="00000000">
        <w:rPr>
          <w:color w:val="353744"/>
          <w:rtl w:val="0"/>
        </w:rPr>
        <w:t xml:space="preserve">Status of resolutions or press releases</w:t>
      </w:r>
    </w:p>
    <w:p w:rsidR="00000000" w:rsidDel="00000000" w:rsidP="00000000" w:rsidRDefault="00000000" w:rsidRPr="00000000" w14:paraId="00000009">
      <w:pPr>
        <w:numPr>
          <w:ilvl w:val="1"/>
          <w:numId w:val="3"/>
        </w:numPr>
        <w:spacing w:after="0" w:afterAutospacing="0" w:before="0" w:beforeAutospacing="0" w:line="312" w:lineRule="auto"/>
        <w:ind w:left="1440" w:hanging="360"/>
        <w:rPr>
          <w:color w:val="353744"/>
        </w:rPr>
      </w:pPr>
      <w:r w:rsidDel="00000000" w:rsidR="00000000" w:rsidRPr="00000000">
        <w:rPr>
          <w:color w:val="353744"/>
          <w:rtl w:val="0"/>
        </w:rPr>
        <w:t xml:space="preserve">Filing deadlines (MD&amp;A, F1s, Form 7s, 9s)</w:t>
      </w:r>
    </w:p>
    <w:p w:rsidR="00000000" w:rsidDel="00000000" w:rsidP="00000000" w:rsidRDefault="00000000" w:rsidRPr="00000000" w14:paraId="0000000A">
      <w:pPr>
        <w:numPr>
          <w:ilvl w:val="1"/>
          <w:numId w:val="3"/>
        </w:numPr>
        <w:spacing w:after="0" w:afterAutospacing="0" w:before="0" w:beforeAutospacing="0" w:line="312" w:lineRule="auto"/>
        <w:ind w:left="1440" w:hanging="360"/>
        <w:rPr>
          <w:color w:val="353744"/>
        </w:rPr>
      </w:pPr>
      <w:r w:rsidDel="00000000" w:rsidR="00000000" w:rsidRPr="00000000">
        <w:rPr>
          <w:color w:val="353744"/>
          <w:rtl w:val="0"/>
        </w:rPr>
        <w:t xml:space="preserve">Insider report obligations (by person and grant/transaction)</w:t>
      </w:r>
    </w:p>
    <w:p w:rsidR="00000000" w:rsidDel="00000000" w:rsidP="00000000" w:rsidRDefault="00000000" w:rsidRPr="00000000" w14:paraId="0000000B">
      <w:pPr>
        <w:numPr>
          <w:ilvl w:val="0"/>
          <w:numId w:val="3"/>
        </w:numPr>
        <w:spacing w:after="0" w:afterAutospacing="0" w:before="0" w:beforeAutospacing="0" w:line="312" w:lineRule="auto"/>
        <w:ind w:left="720" w:hanging="360"/>
        <w:rPr>
          <w:rFonts w:ascii="Proxima Nova" w:cs="Proxima Nova" w:eastAsia="Proxima Nova" w:hAnsi="Proxima Nova"/>
          <w:color w:val="353744"/>
        </w:rPr>
      </w:pPr>
      <w:r w:rsidDel="00000000" w:rsidR="00000000" w:rsidRPr="00000000">
        <w:rPr>
          <w:b w:val="1"/>
          <w:bCs w:val="1"/>
          <w:color w:val="353744"/>
          <w:rtl w:val="0"/>
        </w:rPr>
        <w:t xml:space="preserve">Set Bi-Weekly or Monthly Touchpoint with CFO</w:t>
      </w:r>
      <w:r w:rsidDel="00000000" w:rsidR="00000000" w:rsidRPr="00000000">
        <w:rPr>
          <w:color w:val="353744"/>
          <w:rtl w:val="0"/>
        </w:rPr>
        <w:t xml:space="preserve">:</w:t>
      </w:r>
      <w:r w:rsidDel="00000000" w:rsidR="00000000" w:rsidRPr="00000000">
        <w:rPr>
          <w:rtl w:val="0"/>
        </w:rPr>
      </w:r>
    </w:p>
    <w:p w:rsidR="00000000" w:rsidDel="00000000" w:rsidP="00000000" w:rsidRDefault="00000000" w:rsidRPr="00000000" w14:paraId="0000000C">
      <w:pPr>
        <w:numPr>
          <w:ilvl w:val="1"/>
          <w:numId w:val="3"/>
        </w:numPr>
        <w:spacing w:after="0" w:afterAutospacing="0" w:before="0" w:beforeAutospacing="0" w:line="312" w:lineRule="auto"/>
        <w:ind w:left="1440" w:hanging="360"/>
        <w:rPr>
          <w:rFonts w:ascii="Proxima Nova" w:cs="Proxima Nova" w:eastAsia="Proxima Nova" w:hAnsi="Proxima Nova"/>
          <w:color w:val="353744"/>
        </w:rPr>
      </w:pPr>
      <w:r w:rsidDel="00000000" w:rsidR="00000000" w:rsidRPr="00000000">
        <w:rPr>
          <w:rFonts w:ascii="Proxima Nova" w:cs="Proxima Nova" w:eastAsia="Proxima Nova" w:hAnsi="Proxima Nova"/>
          <w:color w:val="353744"/>
          <w:rtl w:val="0"/>
        </w:rPr>
        <w:t xml:space="preserve">Reserve time specifically to walk through ongoing and future items.</w:t>
      </w:r>
    </w:p>
    <w:p w:rsidR="00000000" w:rsidDel="00000000" w:rsidP="00000000" w:rsidRDefault="00000000" w:rsidRPr="00000000" w14:paraId="0000000D">
      <w:pPr>
        <w:numPr>
          <w:ilvl w:val="1"/>
          <w:numId w:val="3"/>
        </w:numPr>
        <w:spacing w:after="240" w:before="0" w:beforeAutospacing="0" w:line="312" w:lineRule="auto"/>
        <w:ind w:left="1440" w:hanging="360"/>
        <w:rPr>
          <w:rFonts w:ascii="Proxima Nova" w:cs="Proxima Nova" w:eastAsia="Proxima Nova" w:hAnsi="Proxima Nova"/>
          <w:color w:val="353744"/>
        </w:rPr>
      </w:pPr>
      <w:r w:rsidDel="00000000" w:rsidR="00000000" w:rsidRPr="00000000">
        <w:rPr>
          <w:rtl w:val="0"/>
        </w:rPr>
      </w:r>
    </w:p>
    <w:p w:rsidR="00000000" w:rsidDel="00000000" w:rsidP="00000000" w:rsidRDefault="00000000" w:rsidRPr="00000000" w14:paraId="0000000E">
      <w:pPr>
        <w:pStyle w:val="Heading4"/>
        <w:spacing w:after="240" w:before="240" w:lineRule="auto"/>
        <w:rPr>
          <w:rFonts w:ascii="Times New Roman" w:cs="Times New Roman" w:eastAsia="Times New Roman" w:hAnsi="Times New Roman"/>
          <w:b w:val="1"/>
          <w:bCs w:val="1"/>
          <w:sz w:val="24"/>
          <w:szCs w:val="24"/>
        </w:rPr>
      </w:pPr>
      <w:bookmarkStart w:colFirst="0" w:colLast="0" w:name="_5otujchgu2fh" w:id="1"/>
      <w:bookmarkEnd w:id="1"/>
      <w:r w:rsidDel="00000000" w:rsidR="00000000" w:rsidRPr="00000000">
        <w:rPr>
          <w:color w:val="000000"/>
          <w:u w:val="single"/>
          <w:rtl w:val="0"/>
        </w:rPr>
        <w:t xml:space="preserve">Basic Scope</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If engaged, my firm’s basic scope, as we discussed would include the following areas of activity</w:t>
      </w:r>
      <w:r w:rsidDel="00000000" w:rsidR="00000000" w:rsidRPr="00000000">
        <w:rPr>
          <w:rtl w:val="0"/>
        </w:rPr>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Press Releases</w:t>
        <w:br w:type="textWrapping"/>
      </w:r>
      <w:r w:rsidDel="00000000" w:rsidR="00000000" w:rsidRPr="00000000">
        <w:rPr>
          <w:rtl w:val="0"/>
        </w:rPr>
        <w:t xml:space="preserve">Review disclosure for materiality, timing (embargo if applicable), and non-selective distribution.  </w:t>
      </w:r>
      <w:r w:rsidDel="00000000" w:rsidR="00000000" w:rsidRPr="00000000">
        <w:rPr>
          <w:rtl w:val="0"/>
        </w:rPr>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CSE-Mandated Forms</w:t>
        <w:br w:type="textWrapping"/>
      </w:r>
      <w:r w:rsidDel="00000000" w:rsidR="00000000" w:rsidRPr="00000000">
        <w:rPr>
          <w:rFonts w:ascii="Times New Roman" w:cs="Times New Roman" w:eastAsia="Times New Roman" w:hAnsi="Times New Roman"/>
          <w:sz w:val="24"/>
          <w:szCs w:val="24"/>
          <w:rtl w:val="0"/>
        </w:rPr>
        <w:t xml:space="preserve">Prepare filings or supervise in-house execution. </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Management Discussion &amp; Analysis (MD&amp;A)</w:t>
        <w:br w:type="textWrapping"/>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Substantive editorial review, regulatory cross-check, and consistency testing against financials and news flow.</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 Director Onboarding &amp; Governance Hygiene</w:t>
        <w:br w:type="textWrapping"/>
      </w:r>
      <w:r w:rsidDel="00000000" w:rsidR="00000000" w:rsidRPr="00000000">
        <w:rPr>
          <w:rFonts w:ascii="Times New Roman" w:cs="Times New Roman" w:eastAsia="Times New Roman" w:hAnsi="Times New Roman"/>
          <w:sz w:val="24"/>
          <w:szCs w:val="24"/>
          <w:rtl w:val="0"/>
        </w:rPr>
        <w:t xml:space="preserve">Deliver orientation on insider rules, Form 55-102F2 (Insider Reporting), trading blackout procedures.</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Board &amp; Committee Meetings</w:t>
      </w:r>
    </w:p>
    <w:p w:rsidR="00000000" w:rsidDel="00000000" w:rsidP="00000000" w:rsidRDefault="00000000" w:rsidRPr="00000000" w14:paraId="00000015">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tl w:val="0"/>
        </w:rPr>
        <w:t xml:space="preserve">Maintain Minutes</w:t>
      </w:r>
    </w:p>
    <w:p w:rsidR="00000000" w:rsidDel="00000000" w:rsidP="00000000" w:rsidRDefault="00000000" w:rsidRPr="00000000" w14:paraId="00000016">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Draft resolutions, identify disclosure triggers, and advise on compliance-sensitive items.</w:t>
        <w:br w:type="textWrapping"/>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 SEDAR+/SDRI Compliance</w:t>
        <w:br w:type="textWrapping"/>
      </w:r>
      <w:r w:rsidDel="00000000" w:rsidR="00000000" w:rsidRPr="00000000">
        <w:rPr>
          <w:rtl w:val="0"/>
        </w:rPr>
        <w:t xml:space="preserve">Act as </w:t>
      </w:r>
      <w:r w:rsidDel="00000000" w:rsidR="00000000" w:rsidRPr="00000000">
        <w:rPr>
          <w:rFonts w:ascii="Times New Roman" w:cs="Times New Roman" w:eastAsia="Times New Roman" w:hAnsi="Times New Roman"/>
          <w:sz w:val="24"/>
          <w:szCs w:val="24"/>
          <w:rtl w:val="0"/>
        </w:rPr>
        <w:t xml:space="preserve">Filing agent liaison, review and/or file, and maintain audit-quality records.</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7) Compliance Health Check</w:t>
        <w:br w:type="textWrapping"/>
      </w:r>
      <w:r w:rsidDel="00000000" w:rsidR="00000000" w:rsidRPr="00000000">
        <w:rPr>
          <w:rtl w:val="0"/>
        </w:rPr>
        <w:t xml:space="preserve">As instructed, i</w:t>
      </w:r>
      <w:r w:rsidDel="00000000" w:rsidR="00000000" w:rsidRPr="00000000">
        <w:rPr>
          <w:rFonts w:ascii="Times New Roman" w:cs="Times New Roman" w:eastAsia="Times New Roman" w:hAnsi="Times New Roman"/>
          <w:sz w:val="24"/>
          <w:szCs w:val="24"/>
          <w:rtl w:val="0"/>
        </w:rPr>
        <w:t xml:space="preserve">dentify latent defects</w:t>
      </w:r>
      <w:r w:rsidDel="00000000" w:rsidR="00000000" w:rsidRPr="00000000">
        <w:rPr>
          <w:rtl w:val="0"/>
        </w:rPr>
        <w:t xml:space="preserve">, liaise with senior counsel</w:t>
      </w:r>
      <w:r w:rsidDel="00000000" w:rsidR="00000000" w:rsidRPr="00000000">
        <w:rPr>
          <w:rFonts w:ascii="Times New Roman" w:cs="Times New Roman" w:eastAsia="Times New Roman" w:hAnsi="Times New Roman"/>
          <w:sz w:val="24"/>
          <w:szCs w:val="24"/>
          <w:rtl w:val="0"/>
        </w:rPr>
        <w:t xml:space="preserve">, rectify pre-emptively.</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ind w:right="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120" w:before="240" w:lineRule="auto"/>
        <w:ind w:right="360"/>
        <w:jc w:val="both"/>
        <w:rPr>
          <w:rFonts w:ascii="Times New Roman" w:cs="Times New Roman" w:eastAsia="Times New Roman" w:hAnsi="Times New Roman"/>
          <w:b w:val="1"/>
          <w:bCs w:val="1"/>
          <w:color w:val="1f3864"/>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Next Steps </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you have completed the below form, we will review it and discuss with you about additional information that needs to be prepared as well as the best way to structure your franchise disclosure document</w:t>
      </w:r>
      <w:r w:rsidDel="00000000" w:rsidR="00000000" w:rsidRPr="00000000">
        <w:rPr>
          <w:rtl w:val="0"/>
        </w:rPr>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Thank you. We look forward to continuing to assist you with this important matter. </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Yours truly, </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LEVINE LAW  </w:t>
      </w:r>
      <w:r w:rsidDel="00000000" w:rsidR="00000000" w:rsidRPr="00000000">
        <w:drawing>
          <wp:anchor allowOverlap="1" behindDoc="0" distB="114300" distT="114300" distL="114300" distR="114300" hidden="0" layoutInCell="1" locked="0" relativeHeight="0" simplePos="0">
            <wp:simplePos x="0" y="0"/>
            <wp:positionH relativeFrom="column">
              <wp:posOffset>-47624</wp:posOffset>
            </wp:positionH>
            <wp:positionV relativeFrom="paragraph">
              <wp:posOffset>169943</wp:posOffset>
            </wp:positionV>
            <wp:extent cx="1562100" cy="635000"/>
            <wp:effectExtent b="0" l="0" r="0" t="0"/>
            <wp:wrapNone/>
            <wp:docPr descr="A picture containing dark, night sky&#10;&#10;Description automatically generated" id="4" name="image1.png"/>
            <a:graphic>
              <a:graphicData uri="http://schemas.openxmlformats.org/drawingml/2006/picture">
                <pic:pic>
                  <pic:nvPicPr>
                    <pic:cNvPr descr="A picture containing dark, night sky&#10;&#10;Description automatically generated" id="0" name="image1.png"/>
                    <pic:cNvPicPr preferRelativeResize="0"/>
                  </pic:nvPicPr>
                  <pic:blipFill>
                    <a:blip r:embed="rId6"/>
                    <a:srcRect b="0" l="0" r="0" t="0"/>
                    <a:stretch>
                      <a:fillRect/>
                    </a:stretch>
                  </pic:blipFill>
                  <pic:spPr>
                    <a:xfrm>
                      <a:off x="0" y="0"/>
                      <a:ext cx="1562100" cy="635000"/>
                    </a:xfrm>
                    <a:prstGeom prst="rect"/>
                    <a:ln/>
                  </pic:spPr>
                </pic:pic>
              </a:graphicData>
            </a:graphic>
          </wp:anchor>
        </w:drawing>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120" w:before="240" w:lineRule="auto"/>
        <w:jc w:val="both"/>
        <w:rPr>
          <w:rFonts w:ascii="Times New Roman" w:cs="Times New Roman" w:eastAsia="Times New Roman" w:hAnsi="Times New Roman"/>
          <w:color w:val="1d4771"/>
          <w:sz w:val="24"/>
          <w:szCs w:val="24"/>
        </w:rPr>
      </w:pPr>
      <w:r w:rsidDel="00000000" w:rsidR="00000000" w:rsidRPr="00000000">
        <w:rPr>
          <w:rFonts w:ascii="Times New Roman" w:cs="Times New Roman" w:eastAsia="Times New Roman" w:hAnsi="Times New Roman"/>
          <w:color w:val="1d4771"/>
          <w:sz w:val="24"/>
          <w:szCs w:val="24"/>
          <w:rtl w:val="0"/>
        </w:rPr>
        <w:t xml:space="preserve"> </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tabs>
          <w:tab w:val="right" w:leader="none" w:pos="2834.645669291339"/>
        </w:tabs>
        <w:spacing w:after="120" w:before="120" w:lineRule="auto"/>
        <w:ind w:left="0" w:firstLine="0"/>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after="120" w:before="40" w:line="48.00000000000001" w:lineRule="auto"/>
        <w:jc w:val="both"/>
        <w:rPr>
          <w:rFonts w:ascii="Times New Roman" w:cs="Times New Roman" w:eastAsia="Times New Roman" w:hAnsi="Times New Roman"/>
          <w:sz w:val="24"/>
          <w:szCs w:val="24"/>
        </w:rPr>
        <w:sectPr>
          <w:headerReference r:id="rId7" w:type="default"/>
          <w:headerReference r:id="rId8" w:type="first"/>
          <w:footerReference r:id="rId9" w:type="first"/>
          <w:pgSz w:h="16834" w:w="11909"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4"/>
          <w:szCs w:val="24"/>
          <w:rtl w:val="0"/>
        </w:rPr>
        <w:t xml:space="preserve">Matthew AJ Levine </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120" w:before="40" w:line="48.00000000000001"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rFonts w:ascii="Times New Roman" w:cs="Times New Roman" w:eastAsia="Times New Roman" w:hAnsi="Times New Roman"/>
          <w:color w:val="1d4771"/>
          <w:sz w:val="24"/>
          <w:szCs w:val="24"/>
        </w:rPr>
      </w:pPr>
      <w:r w:rsidDel="00000000" w:rsidR="00000000" w:rsidRPr="00000000">
        <w:rPr>
          <w:rFonts w:ascii="Times New Roman" w:cs="Times New Roman" w:eastAsia="Times New Roman" w:hAnsi="Times New Roman"/>
          <w:color w:val="1d4771"/>
          <w:sz w:val="24"/>
          <w:szCs w:val="24"/>
          <w:rtl w:val="0"/>
        </w:rPr>
        <w:t xml:space="preserve">  </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center"/>
        <w:rPr>
          <w:rFonts w:ascii="Times New Roman" w:cs="Times New Roman" w:eastAsia="Times New Roman" w:hAnsi="Times New Roman"/>
          <w:b w:val="1"/>
          <w:bCs w:val="1"/>
          <w:color w:val="1d4771"/>
          <w:sz w:val="24"/>
          <w:szCs w:val="24"/>
        </w:rPr>
      </w:pPr>
      <w:r w:rsidDel="00000000" w:rsidR="00000000" w:rsidRPr="00000000">
        <w:rPr>
          <w:rFonts w:ascii="Times New Roman" w:cs="Times New Roman" w:eastAsia="Times New Roman" w:hAnsi="Times New Roman"/>
          <w:b w:val="1"/>
          <w:bCs w:val="1"/>
          <w:color w:val="1d4771"/>
          <w:sz w:val="24"/>
          <w:szCs w:val="24"/>
          <w:rtl w:val="0"/>
        </w:rPr>
        <w:t xml:space="preserve">RFI - Franchise Disclosure Requirements </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Ontario, </w:t>
      </w:r>
      <w:r w:rsidDel="00000000" w:rsidR="00000000" w:rsidRPr="00000000">
        <w:rPr>
          <w:rFonts w:ascii="Times New Roman" w:cs="Times New Roman" w:eastAsia="Times New Roman" w:hAnsi="Times New Roman"/>
          <w:i w:val="1"/>
          <w:iCs w:val="1"/>
          <w:sz w:val="24"/>
          <w:szCs w:val="24"/>
          <w:rtl w:val="0"/>
        </w:rPr>
        <w:t xml:space="preserve">The Arthur Wishart Act (Franchise Disclosure)</w:t>
      </w:r>
      <w:r w:rsidDel="00000000" w:rsidR="00000000" w:rsidRPr="00000000">
        <w:rPr>
          <w:rFonts w:ascii="Times New Roman" w:cs="Times New Roman" w:eastAsia="Times New Roman" w:hAnsi="Times New Roman"/>
          <w:sz w:val="24"/>
          <w:szCs w:val="24"/>
          <w:rtl w:val="0"/>
        </w:rPr>
        <w:t xml:space="preserve">, mandates that franchisors must provide a disclosure document to prospective franchisees before they sign a franchise agreement or pay any fees.  We have prepared this checklist to assist a franchisor or potential franchisor in the preparation of their disclosure documents.   </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fill in as many of the below fields as possible. If you have any questions please do not hesitate to let us know.  </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Rule="auto"/>
        <w:jc w:val="both"/>
        <w:rPr>
          <w:rFonts w:ascii="Times New Roman" w:cs="Times New Roman" w:eastAsia="Times New Roman" w:hAnsi="Times New Roman"/>
          <w:b w:val="1"/>
          <w:bCs w:val="1"/>
          <w:color w:val="000000"/>
          <w:sz w:val="26"/>
          <w:szCs w:val="26"/>
        </w:rPr>
      </w:pPr>
      <w:bookmarkStart w:colFirst="0" w:colLast="0" w:name="_ix3mkb7zvd6h" w:id="2"/>
      <w:bookmarkEnd w:id="2"/>
      <w:r w:rsidDel="00000000" w:rsidR="00000000" w:rsidRPr="00000000">
        <w:rPr>
          <w:rFonts w:ascii="Times New Roman" w:cs="Times New Roman" w:eastAsia="Times New Roman" w:hAnsi="Times New Roman"/>
          <w:b w:val="1"/>
          <w:bCs w:val="1"/>
          <w:color w:val="000000"/>
          <w:sz w:val="26"/>
          <w:szCs w:val="26"/>
          <w:rtl w:val="0"/>
        </w:rPr>
        <w:t xml:space="preserve">FRANCHISE DISCLOSURE COMPLIANCE CHECKLIST</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(Prepared in accordance with the Arthur Wishart Act (Franchise Disclosure), 2000 and O. Reg. 581/00)</w:t>
      </w:r>
    </w:p>
    <w:p w:rsidR="00000000" w:rsidDel="00000000" w:rsidP="00000000" w:rsidRDefault="00000000" w:rsidRPr="00000000" w14:paraId="0000002C">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240" w:lineRule="auto"/>
        <w:jc w:val="both"/>
        <w:rPr>
          <w:rFonts w:ascii="Times New Roman" w:cs="Times New Roman" w:eastAsia="Times New Roman" w:hAnsi="Times New Roman"/>
          <w:b w:val="1"/>
          <w:bCs w:val="1"/>
          <w:color w:val="000000"/>
          <w:sz w:val="22"/>
          <w:szCs w:val="22"/>
        </w:rPr>
      </w:pPr>
      <w:bookmarkStart w:colFirst="0" w:colLast="0" w:name="_c2cdvzmjj1jb" w:id="3"/>
      <w:bookmarkEnd w:id="3"/>
      <w:r w:rsidDel="00000000" w:rsidR="00000000" w:rsidRPr="00000000">
        <w:rPr>
          <w:rFonts w:ascii="Times New Roman" w:cs="Times New Roman" w:eastAsia="Times New Roman" w:hAnsi="Times New Roman"/>
          <w:b w:val="1"/>
          <w:bCs w:val="1"/>
          <w:color w:val="000000"/>
          <w:sz w:val="22"/>
          <w:szCs w:val="22"/>
          <w:rtl w:val="0"/>
        </w:rPr>
        <w:t xml:space="preserve">1. TIMING &amp; DELIVERY REQUIREMENTS</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Delivered at least 14 days</w:t>
      </w:r>
      <w:r w:rsidDel="00000000" w:rsidR="00000000" w:rsidRPr="00000000">
        <w:rPr>
          <w:rFonts w:ascii="Arial Unicode MS" w:cs="Arial Unicode MS" w:eastAsia="Arial Unicode MS" w:hAnsi="Arial Unicode MS"/>
          <w:sz w:val="24"/>
          <w:szCs w:val="24"/>
          <w:rtl w:val="0"/>
        </w:rPr>
        <w:t xml:space="preserve"> before the franchisee signs an agreement or pays consideration (AWA, s. 5(1))</w:t>
        <w:br w:type="textWrapping"/>
        <w:t xml:space="preserve"> ✅ </w:t>
      </w:r>
      <w:r w:rsidDel="00000000" w:rsidR="00000000" w:rsidRPr="00000000">
        <w:rPr>
          <w:rFonts w:ascii="Times New Roman" w:cs="Times New Roman" w:eastAsia="Times New Roman" w:hAnsi="Times New Roman"/>
          <w:b w:val="1"/>
          <w:bCs w:val="1"/>
          <w:sz w:val="24"/>
          <w:szCs w:val="24"/>
          <w:rtl w:val="0"/>
        </w:rPr>
        <w:t xml:space="preserve">Single document, delivered at one time</w:t>
      </w:r>
      <w:r w:rsidDel="00000000" w:rsidR="00000000" w:rsidRPr="00000000">
        <w:rPr>
          <w:rFonts w:ascii="Arial Unicode MS" w:cs="Arial Unicode MS" w:eastAsia="Arial Unicode MS" w:hAnsi="Arial Unicode MS"/>
          <w:sz w:val="24"/>
          <w:szCs w:val="24"/>
          <w:rtl w:val="0"/>
        </w:rPr>
        <w:t xml:space="preserve"> (AWA, s. 5(3))</w:t>
        <w:br w:type="textWrapping"/>
        <w:t xml:space="preserve"> ✅ Provided in </w:t>
      </w:r>
      <w:r w:rsidDel="00000000" w:rsidR="00000000" w:rsidRPr="00000000">
        <w:rPr>
          <w:rFonts w:ascii="Times New Roman" w:cs="Times New Roman" w:eastAsia="Times New Roman" w:hAnsi="Times New Roman"/>
          <w:b w:val="1"/>
          <w:bCs w:val="1"/>
          <w:sz w:val="24"/>
          <w:szCs w:val="24"/>
          <w:rtl w:val="0"/>
        </w:rPr>
        <w:t xml:space="preserve">paper or electronic format</w:t>
      </w:r>
      <w:r w:rsidDel="00000000" w:rsidR="00000000" w:rsidRPr="00000000">
        <w:rPr>
          <w:rFonts w:ascii="Times New Roman" w:cs="Times New Roman" w:eastAsia="Times New Roman" w:hAnsi="Times New Roman"/>
          <w:sz w:val="24"/>
          <w:szCs w:val="24"/>
          <w:rtl w:val="0"/>
        </w:rPr>
        <w:t xml:space="preserve"> that allows for retention (email with PDF attachment recommended)</w:t>
      </w:r>
    </w:p>
    <w:p w:rsidR="00000000" w:rsidDel="00000000" w:rsidP="00000000" w:rsidRDefault="00000000" w:rsidRPr="00000000" w14:paraId="0000002E">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240" w:lineRule="auto"/>
        <w:jc w:val="both"/>
        <w:rPr>
          <w:rFonts w:ascii="Times New Roman" w:cs="Times New Roman" w:eastAsia="Times New Roman" w:hAnsi="Times New Roman"/>
          <w:b w:val="1"/>
          <w:bCs w:val="1"/>
          <w:color w:val="000000"/>
          <w:sz w:val="22"/>
          <w:szCs w:val="22"/>
        </w:rPr>
      </w:pPr>
      <w:bookmarkStart w:colFirst="0" w:colLast="0" w:name="_4q7lha9xsjv" w:id="4"/>
      <w:bookmarkEnd w:id="4"/>
      <w:r w:rsidDel="00000000" w:rsidR="00000000" w:rsidRPr="00000000">
        <w:rPr>
          <w:rFonts w:ascii="Times New Roman" w:cs="Times New Roman" w:eastAsia="Times New Roman" w:hAnsi="Times New Roman"/>
          <w:b w:val="1"/>
          <w:bCs w:val="1"/>
          <w:color w:val="000000"/>
          <w:sz w:val="22"/>
          <w:szCs w:val="22"/>
          <w:rtl w:val="0"/>
        </w:rPr>
        <w:t xml:space="preserve">2. DISCLOSURE DOCUMENT CONTENTS</w:t>
      </w:r>
    </w:p>
    <w:p w:rsidR="00000000" w:rsidDel="00000000" w:rsidP="00000000" w:rsidRDefault="00000000" w:rsidRPr="00000000" w14:paraId="0000002F">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220" w:lineRule="auto"/>
        <w:jc w:val="both"/>
        <w:rPr>
          <w:rFonts w:ascii="Times New Roman" w:cs="Times New Roman" w:eastAsia="Times New Roman" w:hAnsi="Times New Roman"/>
          <w:b w:val="1"/>
          <w:bCs w:val="1"/>
          <w:color w:val="000000"/>
          <w:sz w:val="20"/>
          <w:szCs w:val="20"/>
        </w:rPr>
      </w:pPr>
      <w:bookmarkStart w:colFirst="0" w:colLast="0" w:name="_ltgaomggt0o1" w:id="5"/>
      <w:bookmarkEnd w:id="5"/>
      <w:r w:rsidDel="00000000" w:rsidR="00000000" w:rsidRPr="00000000">
        <w:rPr>
          <w:rFonts w:ascii="Times New Roman" w:cs="Times New Roman" w:eastAsia="Times New Roman" w:hAnsi="Times New Roman"/>
          <w:b w:val="1"/>
          <w:bCs w:val="1"/>
          <w:color w:val="000000"/>
          <w:sz w:val="20"/>
          <w:szCs w:val="20"/>
          <w:rtl w:val="0"/>
        </w:rPr>
        <w:t xml:space="preserve">General Information</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Cover page clearly states: </w:t>
      </w:r>
      <w:r w:rsidDel="00000000" w:rsidR="00000000" w:rsidRPr="00000000">
        <w:rPr>
          <w:rFonts w:ascii="Times New Roman" w:cs="Times New Roman" w:eastAsia="Times New Roman" w:hAnsi="Times New Roman"/>
          <w:i w:val="1"/>
          <w:iCs w:val="1"/>
          <w:sz w:val="24"/>
          <w:szCs w:val="24"/>
          <w:rtl w:val="0"/>
        </w:rPr>
        <w:t xml:space="preserve">"Franchise Disclosure Document required by the Arthur Wishart Act (Franchise Disclosure), 2000"</w:t>
        <w:br w:type="textWrapping"/>
      </w:r>
      <w:r w:rsidDel="00000000" w:rsidR="00000000" w:rsidRPr="00000000">
        <w:rPr>
          <w:rFonts w:ascii="Arial Unicode MS" w:cs="Arial Unicode MS" w:eastAsia="Arial Unicode MS" w:hAnsi="Arial Unicode MS"/>
          <w:sz w:val="24"/>
          <w:szCs w:val="24"/>
          <w:rtl w:val="0"/>
        </w:rPr>
        <w:t xml:space="preserve"> ✅ Table of contents listing all sections and exhibits</w:t>
        <w:br w:type="textWrapping"/>
        <w:t xml:space="preserve"> ✅ Name, business address, and principal place of business of the franchisor</w:t>
        <w:br w:type="textWrapping"/>
        <w:t xml:space="preserve"> ✅ Name and address of the franchisor’s attorney for service (if applicable)</w:t>
        <w:br w:type="textWrapping"/>
        <w:t xml:space="preserve"> ✅ Description of the franchisor’s business and franchises being offered</w:t>
        <w:br w:type="textWrapping"/>
        <w:t xml:space="preserve"> ✅ Franchisor’s business structure (corporation, partnership, etc.), jurisdiction of incorporation, and parent company details (if applicable)</w:t>
      </w:r>
    </w:p>
    <w:p w:rsidR="00000000" w:rsidDel="00000000" w:rsidP="00000000" w:rsidRDefault="00000000" w:rsidRPr="00000000" w14:paraId="00000031">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220" w:lineRule="auto"/>
        <w:jc w:val="both"/>
        <w:rPr>
          <w:rFonts w:ascii="Times New Roman" w:cs="Times New Roman" w:eastAsia="Times New Roman" w:hAnsi="Times New Roman"/>
          <w:b w:val="1"/>
          <w:bCs w:val="1"/>
          <w:color w:val="000000"/>
          <w:sz w:val="20"/>
          <w:szCs w:val="20"/>
        </w:rPr>
      </w:pPr>
      <w:bookmarkStart w:colFirst="0" w:colLast="0" w:name="_ld6d3turb2po" w:id="6"/>
      <w:bookmarkEnd w:id="6"/>
      <w:r w:rsidDel="00000000" w:rsidR="00000000" w:rsidRPr="00000000">
        <w:rPr>
          <w:rFonts w:ascii="Times New Roman" w:cs="Times New Roman" w:eastAsia="Times New Roman" w:hAnsi="Times New Roman"/>
          <w:b w:val="1"/>
          <w:bCs w:val="1"/>
          <w:color w:val="000000"/>
          <w:sz w:val="20"/>
          <w:szCs w:val="20"/>
          <w:rtl w:val="0"/>
        </w:rPr>
        <w:t xml:space="preserve">Material Facts (AWA, s. 5(4))</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Business background of the franchisor, including legal name, jurisdiction, and corporate structure</w:t>
        <w:br w:type="textWrapping"/>
        <w:t xml:space="preserve"> ✅ Identity and business history of directors, officers, and general partners</w:t>
        <w:br w:type="textWrapping"/>
        <w:t xml:space="preserve"> ✅ Past or current litigation involving the franchisor or key personnel (franchise-related, fraud, unfair business practices, etc.)</w:t>
        <w:br w:type="textWrapping"/>
        <w:t xml:space="preserve"> ✅ Bankruptcy or insolvency history (personal and corporate) for the past six years</w:t>
        <w:br w:type="textWrapping"/>
        <w:t xml:space="preserve"> ✅ Disclosure of any </w:t>
      </w:r>
      <w:r w:rsidDel="00000000" w:rsidR="00000000" w:rsidRPr="00000000">
        <w:rPr>
          <w:rFonts w:ascii="Times New Roman" w:cs="Times New Roman" w:eastAsia="Times New Roman" w:hAnsi="Times New Roman"/>
          <w:b w:val="1"/>
          <w:bCs w:val="1"/>
          <w:sz w:val="24"/>
          <w:szCs w:val="24"/>
          <w:rtl w:val="0"/>
        </w:rPr>
        <w:t xml:space="preserve">civil liability</w:t>
      </w:r>
      <w:r w:rsidDel="00000000" w:rsidR="00000000" w:rsidRPr="00000000">
        <w:rPr>
          <w:rFonts w:ascii="Arial Unicode MS" w:cs="Arial Unicode MS" w:eastAsia="Arial Unicode MS" w:hAnsi="Arial Unicode MS"/>
          <w:sz w:val="24"/>
          <w:szCs w:val="24"/>
          <w:rtl w:val="0"/>
        </w:rPr>
        <w:t xml:space="preserve"> judgments for fraud, misrepresentation, deceptive business practices, or franchise law violations (last 10 years)</w:t>
        <w:br w:type="textWrapping"/>
        <w:t xml:space="preserve"> ✅ Details of </w:t>
      </w:r>
      <w:r w:rsidDel="00000000" w:rsidR="00000000" w:rsidRPr="00000000">
        <w:rPr>
          <w:rFonts w:ascii="Times New Roman" w:cs="Times New Roman" w:eastAsia="Times New Roman" w:hAnsi="Times New Roman"/>
          <w:b w:val="1"/>
          <w:bCs w:val="1"/>
          <w:sz w:val="24"/>
          <w:szCs w:val="24"/>
          <w:rtl w:val="0"/>
        </w:rPr>
        <w:t xml:space="preserve">administrative orders or penalties</w:t>
      </w:r>
      <w:r w:rsidDel="00000000" w:rsidR="00000000" w:rsidRPr="00000000">
        <w:rPr>
          <w:rFonts w:ascii="Arial Unicode MS" w:cs="Arial Unicode MS" w:eastAsia="Arial Unicode MS" w:hAnsi="Arial Unicode MS"/>
          <w:sz w:val="24"/>
          <w:szCs w:val="24"/>
          <w:rtl w:val="0"/>
        </w:rPr>
        <w:t xml:space="preserve"> related to franchise law violations (last 10 years)</w:t>
        <w:br w:type="textWrapping"/>
        <w:t xml:space="preserve"> ✅ Information on past </w:t>
      </w:r>
      <w:r w:rsidDel="00000000" w:rsidR="00000000" w:rsidRPr="00000000">
        <w:rPr>
          <w:rFonts w:ascii="Times New Roman" w:cs="Times New Roman" w:eastAsia="Times New Roman" w:hAnsi="Times New Roman"/>
          <w:b w:val="1"/>
          <w:bCs w:val="1"/>
          <w:sz w:val="24"/>
          <w:szCs w:val="24"/>
          <w:rtl w:val="0"/>
        </w:rPr>
        <w:t xml:space="preserve">franchise closures, terminations, non-renewals, or re-acquisitions</w:t>
      </w:r>
      <w:r w:rsidDel="00000000" w:rsidR="00000000" w:rsidRPr="00000000">
        <w:rPr>
          <w:rFonts w:ascii="Arial Unicode MS" w:cs="Arial Unicode MS" w:eastAsia="Arial Unicode MS" w:hAnsi="Arial Unicode MS"/>
          <w:sz w:val="24"/>
          <w:szCs w:val="24"/>
          <w:rtl w:val="0"/>
        </w:rPr>
        <w:t xml:space="preserve"> (last three fiscal years)</w:t>
        <w:br w:type="textWrapping"/>
        <w:t xml:space="preserve"> ✅ Alternative Dispute Resolution (ADR) policy, if applicable, including mediation/arbitration procedures</w:t>
      </w:r>
    </w:p>
    <w:p w:rsidR="00000000" w:rsidDel="00000000" w:rsidP="00000000" w:rsidRDefault="00000000" w:rsidRPr="00000000" w14:paraId="00000033">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220" w:lineRule="auto"/>
        <w:jc w:val="both"/>
        <w:rPr>
          <w:rFonts w:ascii="Times New Roman" w:cs="Times New Roman" w:eastAsia="Times New Roman" w:hAnsi="Times New Roman"/>
          <w:b w:val="1"/>
          <w:bCs w:val="1"/>
          <w:color w:val="000000"/>
          <w:sz w:val="20"/>
          <w:szCs w:val="20"/>
        </w:rPr>
      </w:pPr>
      <w:bookmarkStart w:colFirst="0" w:colLast="0" w:name="_hfhcwioww6sa" w:id="7"/>
      <w:bookmarkEnd w:id="7"/>
      <w:r w:rsidDel="00000000" w:rsidR="00000000" w:rsidRPr="00000000">
        <w:rPr>
          <w:rFonts w:ascii="Times New Roman" w:cs="Times New Roman" w:eastAsia="Times New Roman" w:hAnsi="Times New Roman"/>
          <w:b w:val="1"/>
          <w:bCs w:val="1"/>
          <w:color w:val="000000"/>
          <w:sz w:val="20"/>
          <w:szCs w:val="20"/>
          <w:rtl w:val="0"/>
        </w:rPr>
        <w:t xml:space="preserve">Financial Disclosure (O. Reg. 581/00, s. 3)</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Most recent </w:t>
      </w:r>
      <w:r w:rsidDel="00000000" w:rsidR="00000000" w:rsidRPr="00000000">
        <w:rPr>
          <w:rFonts w:ascii="Times New Roman" w:cs="Times New Roman" w:eastAsia="Times New Roman" w:hAnsi="Times New Roman"/>
          <w:b w:val="1"/>
          <w:bCs w:val="1"/>
          <w:sz w:val="24"/>
          <w:szCs w:val="24"/>
          <w:rtl w:val="0"/>
        </w:rPr>
        <w:t xml:space="preserve">audited financial statements</w:t>
      </w:r>
      <w:r w:rsidDel="00000000" w:rsidR="00000000" w:rsidRPr="00000000">
        <w:rPr>
          <w:rFonts w:ascii="Arial Unicode MS" w:cs="Arial Unicode MS" w:eastAsia="Arial Unicode MS" w:hAnsi="Arial Unicode MS"/>
          <w:sz w:val="24"/>
          <w:szCs w:val="24"/>
          <w:rtl w:val="0"/>
        </w:rPr>
        <w:t xml:space="preserve">, prepared in accordance with GAAP</w:t>
        <w:br w:type="textWrapping"/>
        <w:t xml:space="preserve"> ✅ If the franchisor is exempt (e.g., new franchisor exemption), confirm compliance with alternate financial disclosure requirements (e.g., opening balance sheet)</w:t>
      </w:r>
    </w:p>
    <w:p w:rsidR="00000000" w:rsidDel="00000000" w:rsidP="00000000" w:rsidRDefault="00000000" w:rsidRPr="00000000" w14:paraId="00000035">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220" w:lineRule="auto"/>
        <w:jc w:val="both"/>
        <w:rPr>
          <w:rFonts w:ascii="Times New Roman" w:cs="Times New Roman" w:eastAsia="Times New Roman" w:hAnsi="Times New Roman"/>
          <w:b w:val="1"/>
          <w:bCs w:val="1"/>
          <w:color w:val="000000"/>
          <w:sz w:val="20"/>
          <w:szCs w:val="20"/>
        </w:rPr>
      </w:pPr>
      <w:bookmarkStart w:colFirst="0" w:colLast="0" w:name="_udpfi4a9tuga" w:id="8"/>
      <w:bookmarkEnd w:id="8"/>
      <w:r w:rsidDel="00000000" w:rsidR="00000000" w:rsidRPr="00000000">
        <w:rPr>
          <w:rFonts w:ascii="Times New Roman" w:cs="Times New Roman" w:eastAsia="Times New Roman" w:hAnsi="Times New Roman"/>
          <w:b w:val="1"/>
          <w:bCs w:val="1"/>
          <w:color w:val="000000"/>
          <w:sz w:val="20"/>
          <w:szCs w:val="20"/>
          <w:rtl w:val="0"/>
        </w:rPr>
        <w:t xml:space="preserve">Franchise System Information</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List of all franchise locations and corporate-owned outlets (operating, terminated, not renewed, ceased operations) for the past three fiscal years</w:t>
        <w:br w:type="textWrapping"/>
        <w:t xml:space="preserve"> ✅ Names and contact details of current franchisees</w:t>
        <w:br w:type="textWrapping"/>
        <w:t xml:space="preserve"> ✅ Description of market, competition, and business model</w:t>
        <w:br w:type="textWrapping"/>
        <w:t xml:space="preserve"> ✅ Franchisee’s </w:t>
      </w:r>
      <w:r w:rsidDel="00000000" w:rsidR="00000000" w:rsidRPr="00000000">
        <w:rPr>
          <w:rFonts w:ascii="Times New Roman" w:cs="Times New Roman" w:eastAsia="Times New Roman" w:hAnsi="Times New Roman"/>
          <w:b w:val="1"/>
          <w:bCs w:val="1"/>
          <w:sz w:val="24"/>
          <w:szCs w:val="24"/>
          <w:rtl w:val="0"/>
        </w:rPr>
        <w:t xml:space="preserve">personal participation</w:t>
      </w:r>
      <w:r w:rsidDel="00000000" w:rsidR="00000000" w:rsidRPr="00000000">
        <w:rPr>
          <w:rFonts w:ascii="Times New Roman" w:cs="Times New Roman" w:eastAsia="Times New Roman" w:hAnsi="Times New Roman"/>
          <w:sz w:val="24"/>
          <w:szCs w:val="24"/>
          <w:rtl w:val="0"/>
        </w:rPr>
        <w:t xml:space="preserve"> requirements in the business (if applicable)</w:t>
      </w:r>
    </w:p>
    <w:p w:rsidR="00000000" w:rsidDel="00000000" w:rsidP="00000000" w:rsidRDefault="00000000" w:rsidRPr="00000000" w14:paraId="00000037">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220" w:lineRule="auto"/>
        <w:jc w:val="both"/>
        <w:rPr>
          <w:rFonts w:ascii="Times New Roman" w:cs="Times New Roman" w:eastAsia="Times New Roman" w:hAnsi="Times New Roman"/>
          <w:b w:val="1"/>
          <w:bCs w:val="1"/>
          <w:color w:val="000000"/>
          <w:sz w:val="20"/>
          <w:szCs w:val="20"/>
        </w:rPr>
      </w:pPr>
      <w:bookmarkStart w:colFirst="0" w:colLast="0" w:name="_2jmvjeks27pk" w:id="9"/>
      <w:bookmarkEnd w:id="9"/>
      <w:r w:rsidDel="00000000" w:rsidR="00000000" w:rsidRPr="00000000">
        <w:rPr>
          <w:rFonts w:ascii="Times New Roman" w:cs="Times New Roman" w:eastAsia="Times New Roman" w:hAnsi="Times New Roman"/>
          <w:b w:val="1"/>
          <w:bCs w:val="1"/>
          <w:color w:val="000000"/>
          <w:sz w:val="20"/>
          <w:szCs w:val="20"/>
          <w:rtl w:val="0"/>
        </w:rPr>
        <w:t xml:space="preserve">Franchise Agreements &amp; Other Contracts</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Copy of all agreements</w:t>
      </w:r>
      <w:r w:rsidDel="00000000" w:rsidR="00000000" w:rsidRPr="00000000">
        <w:rPr>
          <w:rFonts w:ascii="Arial Unicode MS" w:cs="Arial Unicode MS" w:eastAsia="Arial Unicode MS" w:hAnsi="Arial Unicode MS"/>
          <w:sz w:val="24"/>
          <w:szCs w:val="24"/>
          <w:rtl w:val="0"/>
        </w:rPr>
        <w:t xml:space="preserve"> franchisee must sign (e.g., Franchise Agreement, lease, supplier agreements, financing agreements, confidentiality agreements)</w:t>
        <w:br w:type="textWrapping"/>
        <w:t xml:space="preserve"> ✅ Clear explanation of franchisee’s obligations (territory restrictions, supplier exclusivity, advertising contributions, etc.)</w:t>
        <w:br w:type="textWrapping"/>
        <w:t xml:space="preserve"> ✅ Details on initial and ongoing fees (franchise fee, royalties, advertising contributions, technology fees, renewal fees, etc.)</w:t>
        <w:br w:type="textWrapping"/>
        <w:t xml:space="preserve"> ✅ Disclosure of </w:t>
      </w:r>
      <w:r w:rsidDel="00000000" w:rsidR="00000000" w:rsidRPr="00000000">
        <w:rPr>
          <w:rFonts w:ascii="Times New Roman" w:cs="Times New Roman" w:eastAsia="Times New Roman" w:hAnsi="Times New Roman"/>
          <w:b w:val="1"/>
          <w:bCs w:val="1"/>
          <w:sz w:val="24"/>
          <w:szCs w:val="24"/>
          <w:rtl w:val="0"/>
        </w:rPr>
        <w:t xml:space="preserve">unilateral amendment rights</w:t>
      </w:r>
      <w:r w:rsidDel="00000000" w:rsidR="00000000" w:rsidRPr="00000000">
        <w:rPr>
          <w:rFonts w:ascii="Arial Unicode MS" w:cs="Arial Unicode MS" w:eastAsia="Arial Unicode MS" w:hAnsi="Arial Unicode MS"/>
          <w:sz w:val="24"/>
          <w:szCs w:val="24"/>
          <w:rtl w:val="0"/>
        </w:rPr>
        <w:t xml:space="preserve"> by the franchisor (if any)</w:t>
        <w:br w:type="textWrapping"/>
        <w:t xml:space="preserve"> ✅ Description of the franchisor’s </w:t>
      </w:r>
      <w:r w:rsidDel="00000000" w:rsidR="00000000" w:rsidRPr="00000000">
        <w:rPr>
          <w:rFonts w:ascii="Times New Roman" w:cs="Times New Roman" w:eastAsia="Times New Roman" w:hAnsi="Times New Roman"/>
          <w:b w:val="1"/>
          <w:bCs w:val="1"/>
          <w:sz w:val="24"/>
          <w:szCs w:val="24"/>
          <w:rtl w:val="0"/>
        </w:rPr>
        <w:t xml:space="preserve">volume rebates, commissions, or other benefits</w:t>
      </w:r>
      <w:r w:rsidDel="00000000" w:rsidR="00000000" w:rsidRPr="00000000">
        <w:rPr>
          <w:rFonts w:ascii="Arial Unicode MS" w:cs="Arial Unicode MS" w:eastAsia="Arial Unicode MS" w:hAnsi="Arial Unicode MS"/>
          <w:sz w:val="24"/>
          <w:szCs w:val="24"/>
          <w:rtl w:val="0"/>
        </w:rPr>
        <w:t xml:space="preserve"> from supplier relationships</w:t>
        <w:br w:type="textWrapping"/>
        <w:t xml:space="preserve"> ✅ Disclosure of any </w:t>
      </w:r>
      <w:r w:rsidDel="00000000" w:rsidR="00000000" w:rsidRPr="00000000">
        <w:rPr>
          <w:rFonts w:ascii="Times New Roman" w:cs="Times New Roman" w:eastAsia="Times New Roman" w:hAnsi="Times New Roman"/>
          <w:b w:val="1"/>
          <w:bCs w:val="1"/>
          <w:sz w:val="24"/>
          <w:szCs w:val="24"/>
          <w:rtl w:val="0"/>
        </w:rPr>
        <w:t xml:space="preserve">guarantees or security interests</w:t>
      </w:r>
      <w:r w:rsidDel="00000000" w:rsidR="00000000" w:rsidRPr="00000000">
        <w:rPr>
          <w:rFonts w:ascii="Arial Unicode MS" w:cs="Arial Unicode MS" w:eastAsia="Arial Unicode MS" w:hAnsi="Arial Unicode MS"/>
          <w:sz w:val="24"/>
          <w:szCs w:val="24"/>
          <w:rtl w:val="0"/>
        </w:rPr>
        <w:t xml:space="preserve"> required from franchisees</w:t>
        <w:br w:type="textWrapping"/>
        <w:t xml:space="preserve"> ✅ Details of the </w:t>
      </w:r>
      <w:r w:rsidDel="00000000" w:rsidR="00000000" w:rsidRPr="00000000">
        <w:rPr>
          <w:rFonts w:ascii="Times New Roman" w:cs="Times New Roman" w:eastAsia="Times New Roman" w:hAnsi="Times New Roman"/>
          <w:b w:val="1"/>
          <w:bCs w:val="1"/>
          <w:sz w:val="24"/>
          <w:szCs w:val="24"/>
          <w:rtl w:val="0"/>
        </w:rPr>
        <w:t xml:space="preserve">advertising fund</w:t>
      </w:r>
      <w:r w:rsidDel="00000000" w:rsidR="00000000" w:rsidRPr="00000000">
        <w:rPr>
          <w:rFonts w:ascii="Times New Roman" w:cs="Times New Roman" w:eastAsia="Times New Roman" w:hAnsi="Times New Roman"/>
          <w:sz w:val="24"/>
          <w:szCs w:val="24"/>
          <w:rtl w:val="0"/>
        </w:rPr>
        <w:t xml:space="preserve"> contributions and expenditures (past two fiscal years and projections for the current year)</w:t>
      </w:r>
    </w:p>
    <w:p w:rsidR="00000000" w:rsidDel="00000000" w:rsidP="00000000" w:rsidRDefault="00000000" w:rsidRPr="00000000" w14:paraId="00000039">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220" w:lineRule="auto"/>
        <w:jc w:val="both"/>
        <w:rPr>
          <w:rFonts w:ascii="Times New Roman" w:cs="Times New Roman" w:eastAsia="Times New Roman" w:hAnsi="Times New Roman"/>
          <w:b w:val="1"/>
          <w:bCs w:val="1"/>
          <w:color w:val="000000"/>
          <w:sz w:val="20"/>
          <w:szCs w:val="20"/>
        </w:rPr>
      </w:pPr>
      <w:bookmarkStart w:colFirst="0" w:colLast="0" w:name="_a934o6pvc1m8" w:id="10"/>
      <w:bookmarkEnd w:id="10"/>
      <w:r w:rsidDel="00000000" w:rsidR="00000000" w:rsidRPr="00000000">
        <w:rPr>
          <w:rFonts w:ascii="Times New Roman" w:cs="Times New Roman" w:eastAsia="Times New Roman" w:hAnsi="Times New Roman"/>
          <w:b w:val="1"/>
          <w:bCs w:val="1"/>
          <w:color w:val="000000"/>
          <w:sz w:val="20"/>
          <w:szCs w:val="20"/>
          <w:rtl w:val="0"/>
        </w:rPr>
        <w:t xml:space="preserve">Earnings Projections (if applicable, AWA, s. 5(4)(d))</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If earnings projections are provided, ensure:</w:t>
      </w:r>
    </w:p>
    <w:p w:rsidR="00000000" w:rsidDel="00000000" w:rsidP="00000000" w:rsidRDefault="00000000" w:rsidRPr="00000000" w14:paraId="0000003B">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reasonable basis exists for projections</w:t>
      </w:r>
    </w:p>
    <w:p w:rsidR="00000000" w:rsidDel="00000000" w:rsidP="00000000" w:rsidRDefault="00000000" w:rsidRPr="00000000" w14:paraId="0000003C">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Projections are based on written assumptions</w:t>
      </w:r>
    </w:p>
    <w:p w:rsidR="00000000" w:rsidDel="00000000" w:rsidP="00000000" w:rsidRDefault="00000000" w:rsidRPr="00000000" w14:paraId="0000003D">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The franchisor provides contact details for franchisees who have achieved the stated earnings</w:t>
        <w:br w:type="textWrapping"/>
        <w:t xml:space="preserve"> ✅ If </w:t>
      </w:r>
      <w:r w:rsidDel="00000000" w:rsidR="00000000" w:rsidRPr="00000000">
        <w:rPr>
          <w:rFonts w:ascii="Times New Roman" w:cs="Times New Roman" w:eastAsia="Times New Roman" w:hAnsi="Times New Roman"/>
          <w:b w:val="1"/>
          <w:bCs w:val="1"/>
          <w:sz w:val="24"/>
          <w:szCs w:val="24"/>
          <w:rtl w:val="0"/>
        </w:rPr>
        <w:t xml:space="preserve">operating cost estimates</w:t>
      </w:r>
      <w:r w:rsidDel="00000000" w:rsidR="00000000" w:rsidRPr="00000000">
        <w:rPr>
          <w:rFonts w:ascii="Times New Roman" w:cs="Times New Roman" w:eastAsia="Times New Roman" w:hAnsi="Times New Roman"/>
          <w:sz w:val="24"/>
          <w:szCs w:val="24"/>
          <w:rtl w:val="0"/>
        </w:rPr>
        <w:t xml:space="preserve"> are provided, ensure disclosure of assumptions and basis for estimates</w:t>
      </w:r>
    </w:p>
    <w:p w:rsidR="00000000" w:rsidDel="00000000" w:rsidP="00000000" w:rsidRDefault="00000000" w:rsidRPr="00000000" w14:paraId="0000003E">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220" w:lineRule="auto"/>
        <w:jc w:val="both"/>
        <w:rPr>
          <w:rFonts w:ascii="Times New Roman" w:cs="Times New Roman" w:eastAsia="Times New Roman" w:hAnsi="Times New Roman"/>
          <w:b w:val="1"/>
          <w:bCs w:val="1"/>
          <w:color w:val="000000"/>
          <w:sz w:val="20"/>
          <w:szCs w:val="20"/>
        </w:rPr>
      </w:pPr>
      <w:bookmarkStart w:colFirst="0" w:colLast="0" w:name="_mhnu49h4prun" w:id="11"/>
      <w:bookmarkEnd w:id="11"/>
      <w:r w:rsidDel="00000000" w:rsidR="00000000" w:rsidRPr="00000000">
        <w:rPr>
          <w:rFonts w:ascii="Times New Roman" w:cs="Times New Roman" w:eastAsia="Times New Roman" w:hAnsi="Times New Roman"/>
          <w:b w:val="1"/>
          <w:bCs w:val="1"/>
          <w:color w:val="000000"/>
          <w:sz w:val="20"/>
          <w:szCs w:val="20"/>
          <w:rtl w:val="0"/>
        </w:rPr>
        <w:t xml:space="preserve">Other Key Disclosures</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Territorial rights (exclusive or non-exclusive)</w:t>
        <w:br w:type="textWrapping"/>
        <w:t xml:space="preserve"> ✅ Initial training and support programs (mandatory vs. optional, who bears cost)</w:t>
        <w:br w:type="textWrapping"/>
        <w:t xml:space="preserve"> ✅ Supplier restrictions and approved vendor requirements</w:t>
        <w:br w:type="textWrapping"/>
        <w:t xml:space="preserve"> ✅ Franchise renewal, transfer, and termination conditions</w:t>
        <w:br w:type="textWrapping"/>
        <w:t xml:space="preserve"> ✅ Dispute resolution process</w:t>
        <w:br w:type="textWrapping"/>
        <w:t xml:space="preserve"> ✅ Resale restrictions and right of first refusal</w:t>
        <w:br w:type="textWrapping"/>
        <w:t xml:space="preserve"> ✅ Franchisor’s </w:t>
      </w:r>
      <w:r w:rsidDel="00000000" w:rsidR="00000000" w:rsidRPr="00000000">
        <w:rPr>
          <w:rFonts w:ascii="Times New Roman" w:cs="Times New Roman" w:eastAsia="Times New Roman" w:hAnsi="Times New Roman"/>
          <w:b w:val="1"/>
          <w:bCs w:val="1"/>
          <w:sz w:val="24"/>
          <w:szCs w:val="24"/>
          <w:rtl w:val="0"/>
        </w:rPr>
        <w:t xml:space="preserve">policies on e-commerce and online sales</w:t>
        <w:br w:type="textWrapping"/>
      </w:r>
      <w:r w:rsidDel="00000000" w:rsidR="00000000" w:rsidRPr="00000000">
        <w:rPr>
          <w:rFonts w:ascii="Arial Unicode MS" w:cs="Arial Unicode MS" w:eastAsia="Arial Unicode MS" w:hAnsi="Arial Unicode MS"/>
          <w:sz w:val="24"/>
          <w:szCs w:val="24"/>
          <w:rtl w:val="0"/>
        </w:rPr>
        <w:t xml:space="preserve"> ✅ Franchise </w:t>
      </w:r>
      <w:r w:rsidDel="00000000" w:rsidR="00000000" w:rsidRPr="00000000">
        <w:rPr>
          <w:rFonts w:ascii="Times New Roman" w:cs="Times New Roman" w:eastAsia="Times New Roman" w:hAnsi="Times New Roman"/>
          <w:b w:val="1"/>
          <w:bCs w:val="1"/>
          <w:sz w:val="24"/>
          <w:szCs w:val="24"/>
          <w:rtl w:val="0"/>
        </w:rPr>
        <w:t xml:space="preserve">proximity restrictions</w:t>
      </w:r>
      <w:r w:rsidDel="00000000" w:rsidR="00000000" w:rsidRPr="00000000">
        <w:rPr>
          <w:rFonts w:ascii="Arial Unicode MS" w:cs="Arial Unicode MS" w:eastAsia="Arial Unicode MS" w:hAnsi="Arial Unicode MS"/>
          <w:sz w:val="24"/>
          <w:szCs w:val="24"/>
          <w:rtl w:val="0"/>
        </w:rPr>
        <w:t xml:space="preserve"> and territorial protections</w:t>
        <w:br w:type="textWrapping"/>
        <w:t xml:space="preserve"> ✅ Disclosure of </w:t>
      </w:r>
      <w:r w:rsidDel="00000000" w:rsidR="00000000" w:rsidRPr="00000000">
        <w:rPr>
          <w:rFonts w:ascii="Times New Roman" w:cs="Times New Roman" w:eastAsia="Times New Roman" w:hAnsi="Times New Roman"/>
          <w:b w:val="1"/>
          <w:bCs w:val="1"/>
          <w:sz w:val="24"/>
          <w:szCs w:val="24"/>
          <w:rtl w:val="0"/>
        </w:rPr>
        <w:t xml:space="preserve">licensing or regulatory requirements</w:t>
      </w:r>
      <w:r w:rsidDel="00000000" w:rsidR="00000000" w:rsidRPr="00000000">
        <w:rPr>
          <w:rFonts w:ascii="Times New Roman" w:cs="Times New Roman" w:eastAsia="Times New Roman" w:hAnsi="Times New Roman"/>
          <w:sz w:val="24"/>
          <w:szCs w:val="24"/>
          <w:rtl w:val="0"/>
        </w:rPr>
        <w:t xml:space="preserve"> the franchisee must meet</w:t>
      </w:r>
    </w:p>
    <w:p w:rsidR="00000000" w:rsidDel="00000000" w:rsidP="00000000" w:rsidRDefault="00000000" w:rsidRPr="00000000" w14:paraId="00000040">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240" w:lineRule="auto"/>
        <w:jc w:val="both"/>
        <w:rPr>
          <w:rFonts w:ascii="Times New Roman" w:cs="Times New Roman" w:eastAsia="Times New Roman" w:hAnsi="Times New Roman"/>
          <w:b w:val="1"/>
          <w:bCs w:val="1"/>
          <w:color w:val="000000"/>
          <w:sz w:val="22"/>
          <w:szCs w:val="22"/>
        </w:rPr>
      </w:pPr>
      <w:bookmarkStart w:colFirst="0" w:colLast="0" w:name="_9tieyfu28r71" w:id="12"/>
      <w:bookmarkEnd w:id="12"/>
      <w:r w:rsidDel="00000000" w:rsidR="00000000" w:rsidRPr="00000000">
        <w:rPr>
          <w:rFonts w:ascii="Times New Roman" w:cs="Times New Roman" w:eastAsia="Times New Roman" w:hAnsi="Times New Roman"/>
          <w:b w:val="1"/>
          <w:bCs w:val="1"/>
          <w:color w:val="000000"/>
          <w:sz w:val="22"/>
          <w:szCs w:val="22"/>
          <w:rtl w:val="0"/>
        </w:rPr>
        <w:t xml:space="preserve">3. CERTIFICATE OF DISCLOSURE (AWA, s. 5(5))</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Signed by </w:t>
      </w:r>
      <w:r w:rsidDel="00000000" w:rsidR="00000000" w:rsidRPr="00000000">
        <w:rPr>
          <w:rFonts w:ascii="Times New Roman" w:cs="Times New Roman" w:eastAsia="Times New Roman" w:hAnsi="Times New Roman"/>
          <w:b w:val="1"/>
          <w:bCs w:val="1"/>
          <w:sz w:val="24"/>
          <w:szCs w:val="24"/>
          <w:rtl w:val="0"/>
        </w:rPr>
        <w:t xml:space="preserve">at least two directors or officers</w:t>
      </w:r>
      <w:r w:rsidDel="00000000" w:rsidR="00000000" w:rsidRPr="00000000">
        <w:rPr>
          <w:rFonts w:ascii="Arial Unicode MS" w:cs="Arial Unicode MS" w:eastAsia="Arial Unicode MS" w:hAnsi="Arial Unicode MS"/>
          <w:sz w:val="24"/>
          <w:szCs w:val="24"/>
          <w:rtl w:val="0"/>
        </w:rPr>
        <w:t xml:space="preserve"> (or sole director, if applicable)</w:t>
        <w:br w:type="textWrapping"/>
        <w:t xml:space="preserve"> ✅ Statement confirming information in FDD is accurate and contains no material omissions</w:t>
      </w:r>
    </w:p>
    <w:p w:rsidR="00000000" w:rsidDel="00000000" w:rsidP="00000000" w:rsidRDefault="00000000" w:rsidRPr="00000000" w14:paraId="00000042">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240" w:lineRule="auto"/>
        <w:jc w:val="both"/>
        <w:rPr>
          <w:rFonts w:ascii="Times New Roman" w:cs="Times New Roman" w:eastAsia="Times New Roman" w:hAnsi="Times New Roman"/>
          <w:b w:val="1"/>
          <w:bCs w:val="1"/>
          <w:color w:val="000000"/>
          <w:sz w:val="22"/>
          <w:szCs w:val="22"/>
        </w:rPr>
      </w:pPr>
      <w:bookmarkStart w:colFirst="0" w:colLast="0" w:name="_l9uvu73iyl1t" w:id="13"/>
      <w:bookmarkEnd w:id="13"/>
      <w:r w:rsidDel="00000000" w:rsidR="00000000" w:rsidRPr="00000000">
        <w:rPr>
          <w:rFonts w:ascii="Times New Roman" w:cs="Times New Roman" w:eastAsia="Times New Roman" w:hAnsi="Times New Roman"/>
          <w:b w:val="1"/>
          <w:bCs w:val="1"/>
          <w:color w:val="000000"/>
          <w:sz w:val="22"/>
          <w:szCs w:val="22"/>
          <w:rtl w:val="0"/>
        </w:rPr>
        <w:t xml:space="preserve">4. FINAL REVIEW &amp; COMPLIANCE CHECK</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Confirm all required information is included</w:t>
        <w:br w:type="textWrapping"/>
        <w:t xml:space="preserve"> ✅ Verify financial statements are up-to-date and compliant</w:t>
        <w:br w:type="textWrapping"/>
        <w:t xml:space="preserve"> ✅ Ensure delivery method and timing comply with AWA requirements</w:t>
        <w:br w:type="textWrapping"/>
        <w:t xml:space="preserve"> ✅ Maintain internal records of disclosure (delivery receipts, signed acknowledgments from franchisees)</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jc w:val="both"/>
        <w:rPr>
          <w:rFonts w:ascii="Times New Roman" w:cs="Times New Roman" w:eastAsia="Times New Roman" w:hAnsi="Times New Roman"/>
          <w:sz w:val="24"/>
          <w:szCs w:val="24"/>
        </w:rPr>
      </w:pPr>
      <w:r w:rsidDel="00000000" w:rsidR="00000000" w:rsidRPr="00000000">
        <w:rPr>
          <w:rtl w:val="0"/>
        </w:rPr>
      </w:r>
    </w:p>
    <w:sectPr>
      <w:headerReference r:id="rId10" w:type="default"/>
      <w:type w:val="nextPage"/>
      <w:pgSz w:h="11909" w:w="16834" w:orient="landscape"/>
      <w:pgMar w:bottom="1440" w:top="1440" w:left="1440" w:right="1440" w:header="720" w:footer="72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rPr/>
    </w:pPr>
    <w:r w:rsidDel="00000000" w:rsidR="00000000" w:rsidRPr="00000000">
      <w:rPr/>
      <w:drawing>
        <wp:inline distB="114300" distT="114300" distL="114300" distR="114300">
          <wp:extent cx="4714875" cy="914400"/>
          <wp:effectExtent b="0" l="0" r="0" t="0"/>
          <wp:docPr id="2" name="image2.png"/>
          <a:graphic>
            <a:graphicData uri="http://schemas.openxmlformats.org/drawingml/2006/picture">
              <pic:pic>
                <pic:nvPicPr>
                  <pic:cNvPr id="0" name="image2.png"/>
                  <pic:cNvPicPr preferRelativeResize="0"/>
                </pic:nvPicPr>
                <pic:blipFill>
                  <a:blip r:embed="rId1"/>
                  <a:srcRect b="0" l="0" r="16244" t="0"/>
                  <a:stretch>
                    <a:fillRect/>
                  </a:stretch>
                </pic:blipFill>
                <pic:spPr>
                  <a:xfrm>
                    <a:off x="0" y="0"/>
                    <a:ext cx="4714875" cy="914400"/>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4816800</wp:posOffset>
          </wp:positionH>
          <wp:positionV relativeFrom="paragraph">
            <wp:posOffset>47626</wp:posOffset>
          </wp:positionV>
          <wp:extent cx="914400" cy="914400"/>
          <wp:effectExtent b="0" l="0" r="0" t="0"/>
          <wp:wrapNone/>
          <wp:docPr id="1" name="image2.png"/>
          <a:graphic>
            <a:graphicData uri="http://schemas.openxmlformats.org/drawingml/2006/picture">
              <pic:pic>
                <pic:nvPicPr>
                  <pic:cNvPr id="0" name="image2.png"/>
                  <pic:cNvPicPr preferRelativeResize="0"/>
                </pic:nvPicPr>
                <pic:blipFill>
                  <a:blip r:embed="rId1"/>
                  <a:srcRect b="0" l="83756" r="0" t="0"/>
                  <a:stretch>
                    <a:fillRect/>
                  </a:stretch>
                </pic:blipFill>
                <pic:spPr>
                  <a:xfrm>
                    <a:off x="0" y="0"/>
                    <a:ext cx="914400" cy="914400"/>
                  </a:xfrm>
                  <a:prstGeom prst="rect"/>
                  <a:ln/>
                </pic:spPr>
              </pic:pic>
            </a:graphicData>
          </a:graphic>
        </wp:anchor>
      </w:drawing>
    </w:r>
  </w:p>
  <w:p w:rsidR="00000000" w:rsidDel="00000000" w:rsidP="00000000" w:rsidRDefault="00000000" w:rsidRPr="00000000" w14:paraId="00000046">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rPr/>
    </w:pPr>
    <w:r w:rsidDel="00000000" w:rsidR="00000000" w:rsidRPr="00000000">
      <w:rPr/>
      <w:drawing>
        <wp:inline distB="114300" distT="114300" distL="114300" distR="114300">
          <wp:extent cx="4695825" cy="914400"/>
          <wp:effectExtent b="0" l="0" r="0" t="0"/>
          <wp:docPr id="3" name="image2.png"/>
          <a:graphic>
            <a:graphicData uri="http://schemas.openxmlformats.org/drawingml/2006/picture">
              <pic:pic>
                <pic:nvPicPr>
                  <pic:cNvPr id="0" name="image2.png"/>
                  <pic:cNvPicPr preferRelativeResize="0"/>
                </pic:nvPicPr>
                <pic:blipFill>
                  <a:blip r:embed="rId1"/>
                  <a:srcRect b="0" l="0" r="16582" t="0"/>
                  <a:stretch>
                    <a:fillRect/>
                  </a:stretch>
                </pic:blipFill>
                <pic:spPr>
                  <a:xfrm>
                    <a:off x="0" y="0"/>
                    <a:ext cx="4695825" cy="914400"/>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7867650</wp:posOffset>
          </wp:positionH>
          <wp:positionV relativeFrom="paragraph">
            <wp:posOffset>72752</wp:posOffset>
          </wp:positionV>
          <wp:extent cx="914400" cy="914400"/>
          <wp:effectExtent b="0" l="0" r="0" t="0"/>
          <wp:wrapNone/>
          <wp:docPr id="5" name="image2.png"/>
          <a:graphic>
            <a:graphicData uri="http://schemas.openxmlformats.org/drawingml/2006/picture">
              <pic:pic>
                <pic:nvPicPr>
                  <pic:cNvPr id="0" name="image2.png"/>
                  <pic:cNvPicPr preferRelativeResize="0"/>
                </pic:nvPicPr>
                <pic:blipFill>
                  <a:blip r:embed="rId1"/>
                  <a:srcRect b="0" l="83756" r="0" t="0"/>
                  <a:stretch>
                    <a:fillRect/>
                  </a:stretch>
                </pic:blipFill>
                <pic:spPr>
                  <a:xfrm>
                    <a:off x="0" y="0"/>
                    <a:ext cx="914400" cy="914400"/>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3.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