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Dear Mr. Sancillo,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Re: Securities Compliance – Discussion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 you for meeting last week. I write to outline the legal services Levine Law would provide to Lobe Sciences Ltd., a CSE-listed small-cap issuer.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Approach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engaged, Levine Law’s support would be structured around three key pillars: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Commitment of Time &amp; Deliverables. </w:t>
      </w:r>
      <w:r w:rsidDel="00000000" w:rsidR="00000000" w:rsidRPr="00000000">
        <w:rPr>
          <w:rtl w:val="0"/>
        </w:rPr>
        <w:t xml:space="preserve"> A recurring monthly allocation of legal hours tied to clearly defined compliance deliverables.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Compliance Tracker.</w:t>
      </w:r>
      <w:r w:rsidDel="00000000" w:rsidR="00000000" w:rsidRPr="00000000">
        <w:rPr>
          <w:rtl w:val="0"/>
        </w:rPr>
        <w:t xml:space="preserve"> Plan and implement</w:t>
      </w:r>
      <w:r w:rsidDel="00000000" w:rsidR="00000000" w:rsidRPr="00000000">
        <w:rPr>
          <w:rtl w:val="0"/>
        </w:rPr>
        <w:t xml:space="preserve"> a distributed compliance tracker to serve as a single source of truth to map and achieve all key filing deadlines, governance obligations, and ongoing disclosure requirements.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Scheduled CFO / CEO Touchpoints.</w:t>
      </w:r>
      <w:r w:rsidDel="00000000" w:rsidR="00000000" w:rsidRPr="00000000">
        <w:rPr>
          <w:rtl w:val="0"/>
        </w:rPr>
        <w:t xml:space="preserve"> Regular bi-weekly or monthly sessions with you or your CFO to proactively address upcoming filings, governance milestones, and regulatory considerations.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tujchgu2fh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firm’s preliminary scope of services, as discussed, includes: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 Release Review.</w:t>
      </w:r>
      <w:r w:rsidDel="00000000" w:rsidR="00000000" w:rsidRPr="00000000">
        <w:rPr>
          <w:rtl w:val="0"/>
        </w:rPr>
        <w:t xml:space="preserve"> Assessment for materiality, embargo timing (if applicable), and compliance with non-selective disclosure obligations.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CSE Filings.</w:t>
      </w:r>
      <w:r w:rsidDel="00000000" w:rsidR="00000000" w:rsidRPr="00000000">
        <w:rPr>
          <w:rtl w:val="0"/>
        </w:rPr>
        <w:t xml:space="preserve"> Drafting or overseeing in-house preparation of required CSE forms, ensuring procedural accuracy and timeliness.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MD&amp;A Review.</w:t>
      </w:r>
      <w:r w:rsidDel="00000000" w:rsidR="00000000" w:rsidRPr="00000000">
        <w:rPr>
          <w:rtl w:val="0"/>
        </w:rPr>
        <w:t xml:space="preserve"> Substantive editorial review with regulatory cross-checks, ensuring alignment with financial statements and recent disclosure trends.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Onboarding &amp; Governance.</w:t>
      </w:r>
      <w:r w:rsidDel="00000000" w:rsidR="00000000" w:rsidRPr="00000000">
        <w:rPr>
          <w:rtl w:val="0"/>
        </w:rPr>
        <w:t xml:space="preserve"> Orientation on insider rules, trading blackout procedures, and guidance on Form 55-102F2 (Insider Reporting).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&amp; Committee Meetings. </w:t>
      </w:r>
      <w:r w:rsidDel="00000000" w:rsidR="00000000" w:rsidRPr="00000000">
        <w:rPr>
          <w:rtl w:val="0"/>
        </w:rPr>
        <w:t xml:space="preserve"> Preparation and maintenance of meeting minutes and resolutions; identification of disclosure triggers and governance-sensitive issues.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SEDAR+/SDRI Compliance. </w:t>
      </w:r>
      <w:r w:rsidDel="00000000" w:rsidR="00000000" w:rsidRPr="00000000">
        <w:rPr>
          <w:rtl w:val="0"/>
        </w:rPr>
        <w:t xml:space="preserve"> Acting as liaison with filing agents, maintaining audit-ready documentation, and filing or reviewing continuous disclosure materials.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Health Check. </w:t>
      </w:r>
      <w:r w:rsidDel="00000000" w:rsidR="00000000" w:rsidRPr="00000000">
        <w:rPr>
          <w:rtl w:val="0"/>
        </w:rPr>
        <w:t xml:space="preserve"> As instructed, conducting a targeted review to identify latent compliance gaps and coordinating remediation with senior external counsel.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40" w:lineRule="auto"/>
        <w:ind w:right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Next Steps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We’d be pleased to tailor this framework to fit Lobe’s internal processes and requirements. Please don’t hesitate to reach out with any questions or if you’d like us to move forward with a formal proposal.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Yours truly,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LEVINE LAW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169943</wp:posOffset>
            </wp:positionV>
            <wp:extent cx="1562100" cy="635000"/>
            <wp:effectExtent b="0" l="0" r="0" t="0"/>
            <wp:wrapNone/>
            <wp:docPr descr="A picture containing dark, night sky&#10;&#10;Description automatically generated" id="3" name="image1.png"/>
            <a:graphic>
              <a:graphicData uri="http://schemas.openxmlformats.org/drawingml/2006/picture">
                <pic:pic>
                  <pic:nvPicPr>
                    <pic:cNvPr descr="A picture containing dark, night sky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240" w:lineRule="auto"/>
        <w:jc w:val="both"/>
        <w:rPr>
          <w:rFonts w:ascii="Times New Roman" w:cs="Times New Roman" w:eastAsia="Times New Roman" w:hAnsi="Times New Roman"/>
          <w:color w:val="1d477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477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tabs>
          <w:tab w:val="right" w:leader="none" w:pos="2834.645669291339"/>
        </w:tabs>
        <w:spacing w:after="120" w:before="12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40" w:line="48.00000000000001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Matthew AJ Levin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/>
      <w:drawing>
        <wp:inline distB="114300" distT="114300" distL="114300" distR="114300">
          <wp:extent cx="4695825" cy="9144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6582" t="0"/>
                  <a:stretch>
                    <a:fillRect/>
                  </a:stretch>
                </pic:blipFill>
                <pic:spPr>
                  <a:xfrm>
                    <a:off x="0" y="0"/>
                    <a:ext cx="4695825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938213" cy="938213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8213" cy="9382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