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Yevi</w:t>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360"/>
        <w:jc w:val="both"/>
        <w:rPr/>
      </w:pPr>
      <w:bookmarkStart w:colFirst="0" w:colLast="0" w:name="_jnceu125x3vt" w:id="0"/>
      <w:bookmarkEnd w:id="0"/>
      <w:r w:rsidDel="00000000" w:rsidR="00000000" w:rsidRPr="00000000">
        <w:rPr>
          <w:rtl w:val="0"/>
        </w:rPr>
        <w:t xml:space="preserve">RE: Consultancy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t xml:space="preserve">I have reviewed the contract. Overall, it appears to be fine but there are some provisions that could be tightened up. Most of my specific comments revolve around possible scope creep and the acceptance procedure for deliverables. </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qzeu0e19f7t2" w:id="1"/>
      <w:bookmarkEnd w:id="1"/>
      <w:r w:rsidDel="00000000" w:rsidR="00000000" w:rsidRPr="00000000">
        <w:rPr>
          <w:u w:val="single"/>
          <w:rtl w:val="0"/>
        </w:rPr>
        <w:t xml:space="preserve">General Comments</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pPr>
      <w:r w:rsidDel="00000000" w:rsidR="00000000" w:rsidRPr="00000000">
        <w:rPr>
          <w:rtl w:val="0"/>
        </w:rPr>
        <w:t xml:space="preserve">It appears that this is a construction contract that has been converted into a consulting contract. The focus is on the deliverables rather than the types of issues that may arise where the services are intangible. For example, there is little to no consideration of competition, solicitation or fiduciary duties between the parties.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spacing w:after="120" w:before="120" w:lineRule="auto"/>
        <w:rPr>
          <w:u w:val="single"/>
        </w:rPr>
      </w:pPr>
      <w:bookmarkStart w:colFirst="0" w:colLast="0" w:name="_3520yzkb76za" w:id="2"/>
      <w:bookmarkEnd w:id="2"/>
      <w:r w:rsidDel="00000000" w:rsidR="00000000" w:rsidRPr="00000000">
        <w:rPr>
          <w:u w:val="single"/>
          <w:rtl w:val="0"/>
        </w:rPr>
        <w:t xml:space="preserve">Specific Comments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Here are six more specific comments. I can make specific revisions around 1-5. Please let me know which are most important. </w:t>
      </w:r>
    </w:p>
    <w:p w:rsidR="00000000" w:rsidDel="00000000" w:rsidP="00000000" w:rsidRDefault="00000000" w:rsidRPr="00000000" w14:paraId="0000000D">
      <w:pPr>
        <w:numPr>
          <w:ilvl w:val="0"/>
          <w:numId w:val="4"/>
        </w:numPr>
        <w:spacing w:after="0" w:afterAutospacing="0"/>
        <w:ind w:left="720" w:hanging="360"/>
      </w:pPr>
      <w:r w:rsidDel="00000000" w:rsidR="00000000" w:rsidRPr="00000000">
        <w:rPr>
          <w:rtl w:val="0"/>
        </w:rPr>
        <w:t xml:space="preserve">Lack of Definition for “Material Deficiencies” in Acceptance Process</w:t>
      </w:r>
    </w:p>
    <w:p w:rsidR="00000000" w:rsidDel="00000000" w:rsidP="00000000" w:rsidRDefault="00000000" w:rsidRPr="00000000" w14:paraId="0000000E">
      <w:pPr>
        <w:numPr>
          <w:ilvl w:val="1"/>
          <w:numId w:val="6"/>
        </w:numPr>
        <w:spacing w:after="0" w:afterAutospacing="0" w:before="0" w:beforeAutospacing="0"/>
        <w:ind w:left="1440" w:hanging="360"/>
      </w:pPr>
      <w:r w:rsidDel="00000000" w:rsidR="00000000" w:rsidRPr="00000000">
        <w:rPr>
          <w:rtl w:val="0"/>
        </w:rPr>
        <w:t xml:space="preserve">The Delivery and Acceptance of Deliverables section states that GoG can reject Deliverables only for “material failure to comply with the applicable Specifications.”</w:t>
      </w:r>
    </w:p>
    <w:p w:rsidR="00000000" w:rsidDel="00000000" w:rsidP="00000000" w:rsidRDefault="00000000" w:rsidRPr="00000000" w14:paraId="0000000F">
      <w:pPr>
        <w:numPr>
          <w:ilvl w:val="1"/>
          <w:numId w:val="6"/>
        </w:numPr>
        <w:spacing w:after="0" w:afterAutospacing="0" w:before="0" w:beforeAutospacing="0"/>
        <w:ind w:left="1440" w:hanging="360"/>
      </w:pPr>
      <w:r w:rsidDel="00000000" w:rsidR="00000000" w:rsidRPr="00000000">
        <w:rPr>
          <w:rtl w:val="0"/>
        </w:rPr>
        <w:t xml:space="preserve">However, “material failure” isn’t defined, which could leave the door open to disputes over minor issues.</w:t>
      </w:r>
    </w:p>
    <w:p w:rsidR="00000000" w:rsidDel="00000000" w:rsidP="00000000" w:rsidRDefault="00000000" w:rsidRPr="00000000" w14:paraId="00000010">
      <w:pPr>
        <w:numPr>
          <w:ilvl w:val="1"/>
          <w:numId w:val="6"/>
        </w:numPr>
        <w:spacing w:before="0" w:beforeAutospacing="0"/>
        <w:ind w:left="1440" w:hanging="360"/>
      </w:pPr>
      <w:r w:rsidDel="00000000" w:rsidR="00000000" w:rsidRPr="00000000">
        <w:rPr>
          <w:rtl w:val="0"/>
        </w:rPr>
        <w:t xml:space="preserve">possible fix: define “material failure”   DONE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4"/>
        </w:numPr>
        <w:spacing w:after="0" w:afterAutospacing="0"/>
        <w:ind w:left="720" w:hanging="360"/>
      </w:pPr>
      <w:r w:rsidDel="00000000" w:rsidR="00000000" w:rsidRPr="00000000">
        <w:rPr>
          <w:rtl w:val="0"/>
        </w:rPr>
        <w:t xml:space="preserve">Potential Payment Risks for G2Y </w:t>
      </w:r>
    </w:p>
    <w:p w:rsidR="00000000" w:rsidDel="00000000" w:rsidP="00000000" w:rsidRDefault="00000000" w:rsidRPr="00000000" w14:paraId="00000013">
      <w:pPr>
        <w:numPr>
          <w:ilvl w:val="1"/>
          <w:numId w:val="3"/>
        </w:numPr>
        <w:spacing w:after="0" w:afterAutospacing="0" w:before="0" w:beforeAutospacing="0"/>
        <w:ind w:left="1440" w:hanging="360"/>
      </w:pPr>
      <w:r w:rsidDel="00000000" w:rsidR="00000000" w:rsidRPr="00000000">
        <w:rPr>
          <w:rtl w:val="0"/>
        </w:rPr>
        <w:t xml:space="preserve">The existing text allows GoG to reject Deliverables and request corrections, but it does not specify whether G2Y is entitled to partial payment for work already completed.</w:t>
      </w:r>
    </w:p>
    <w:p w:rsidR="00000000" w:rsidDel="00000000" w:rsidP="00000000" w:rsidRDefault="00000000" w:rsidRPr="00000000" w14:paraId="00000014">
      <w:pPr>
        <w:numPr>
          <w:ilvl w:val="1"/>
          <w:numId w:val="3"/>
        </w:numPr>
        <w:spacing w:after="0" w:afterAutospacing="0" w:before="0" w:beforeAutospacing="0"/>
        <w:ind w:left="1440" w:hanging="360"/>
      </w:pPr>
      <w:r w:rsidDel="00000000" w:rsidR="00000000" w:rsidRPr="00000000">
        <w:rPr>
          <w:rtl w:val="0"/>
        </w:rPr>
        <w:t xml:space="preserve">The 30-day payment period could lead to cash flow problems for G2Y if payments are delayed due to prolonged review cycles.</w:t>
      </w:r>
    </w:p>
    <w:p w:rsidR="00000000" w:rsidDel="00000000" w:rsidP="00000000" w:rsidRDefault="00000000" w:rsidRPr="00000000" w14:paraId="00000015">
      <w:pPr>
        <w:numPr>
          <w:ilvl w:val="1"/>
          <w:numId w:val="3"/>
        </w:numPr>
        <w:spacing w:before="0" w:beforeAutospacing="0"/>
        <w:ind w:left="1440" w:hanging="360"/>
      </w:pPr>
      <w:r w:rsidDel="00000000" w:rsidR="00000000" w:rsidRPr="00000000">
        <w:rPr>
          <w:rtl w:val="0"/>
        </w:rPr>
        <w:t xml:space="preserve">possible fix: stipulate that  G2Y is paid for partially accepted work or for work done before rejection.  DONE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spacing w:after="0" w:afterAutospacing="0"/>
        <w:ind w:left="720" w:hanging="360"/>
      </w:pPr>
      <w:r w:rsidDel="00000000" w:rsidR="00000000" w:rsidRPr="00000000">
        <w:rPr>
          <w:rtl w:val="0"/>
        </w:rPr>
        <w:t xml:space="preserve">GoG’s Ability to Extend Review Periods Indefinitely</w:t>
      </w:r>
    </w:p>
    <w:p w:rsidR="00000000" w:rsidDel="00000000" w:rsidP="00000000" w:rsidRDefault="00000000" w:rsidRPr="00000000" w14:paraId="00000018">
      <w:pPr>
        <w:numPr>
          <w:ilvl w:val="1"/>
          <w:numId w:val="2"/>
        </w:numPr>
        <w:spacing w:after="0" w:afterAutospacing="0" w:before="0" w:beforeAutospacing="0"/>
        <w:ind w:left="1440" w:hanging="360"/>
      </w:pPr>
      <w:r w:rsidDel="00000000" w:rsidR="00000000" w:rsidRPr="00000000">
        <w:rPr>
          <w:rtl w:val="0"/>
        </w:rPr>
        <w:t xml:space="preserve">GoG can request a 15-day extension to review Deliverables, but there is no limit on how many times they can request this extension.</w:t>
      </w:r>
    </w:p>
    <w:p w:rsidR="00000000" w:rsidDel="00000000" w:rsidP="00000000" w:rsidRDefault="00000000" w:rsidRPr="00000000" w14:paraId="00000019">
      <w:pPr>
        <w:numPr>
          <w:ilvl w:val="1"/>
          <w:numId w:val="2"/>
        </w:numPr>
        <w:spacing w:after="0" w:afterAutospacing="0" w:before="0" w:beforeAutospacing="0"/>
        <w:ind w:left="1440" w:hanging="360"/>
      </w:pPr>
      <w:r w:rsidDel="00000000" w:rsidR="00000000" w:rsidRPr="00000000">
        <w:rPr>
          <w:rtl w:val="0"/>
        </w:rPr>
        <w:t xml:space="preserve">This could lead to acceptance delays and push payments further out.</w:t>
      </w:r>
    </w:p>
    <w:p w:rsidR="00000000" w:rsidDel="00000000" w:rsidP="00000000" w:rsidRDefault="00000000" w:rsidRPr="00000000" w14:paraId="0000001A">
      <w:pPr>
        <w:numPr>
          <w:ilvl w:val="1"/>
          <w:numId w:val="2"/>
        </w:numPr>
        <w:spacing w:before="0" w:beforeAutospacing="0"/>
        <w:ind w:left="1440" w:hanging="360"/>
      </w:pPr>
      <w:r w:rsidDel="00000000" w:rsidR="00000000" w:rsidRPr="00000000">
        <w:rPr>
          <w:rtl w:val="0"/>
        </w:rPr>
        <w:t xml:space="preserve">possible fix:  Limit GoG’s ability to request extensions to a single 15-day period.DONE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4"/>
        </w:numPr>
        <w:spacing w:after="0" w:afterAutospacing="0"/>
        <w:ind w:left="720" w:hanging="360"/>
      </w:pPr>
      <w:r w:rsidDel="00000000" w:rsidR="00000000" w:rsidRPr="00000000">
        <w:rPr>
          <w:rtl w:val="0"/>
        </w:rPr>
        <w:t xml:space="preserve">Termination After Three Rejections – No Final Cure Period</w:t>
      </w:r>
    </w:p>
    <w:p w:rsidR="00000000" w:rsidDel="00000000" w:rsidP="00000000" w:rsidRDefault="00000000" w:rsidRPr="00000000" w14:paraId="0000001D">
      <w:pPr>
        <w:numPr>
          <w:ilvl w:val="1"/>
          <w:numId w:val="1"/>
        </w:numPr>
        <w:spacing w:after="0" w:afterAutospacing="0" w:before="0" w:beforeAutospacing="0"/>
        <w:ind w:left="1440" w:hanging="360"/>
      </w:pPr>
      <w:r w:rsidDel="00000000" w:rsidR="00000000" w:rsidRPr="00000000">
        <w:rPr>
          <w:rtl w:val="0"/>
        </w:rPr>
        <w:t xml:space="preserve">GoG can terminate the contract after three rejections, but there is no last opportunity for G2Y to fix issues before termination takes effect.</w:t>
      </w:r>
    </w:p>
    <w:p w:rsidR="00000000" w:rsidDel="00000000" w:rsidP="00000000" w:rsidRDefault="00000000" w:rsidRPr="00000000" w14:paraId="0000001E">
      <w:pPr>
        <w:numPr>
          <w:ilvl w:val="1"/>
          <w:numId w:val="1"/>
        </w:numPr>
        <w:spacing w:after="0" w:afterAutospacing="0" w:before="0" w:beforeAutospacing="0"/>
        <w:ind w:left="1440" w:hanging="360"/>
      </w:pPr>
      <w:r w:rsidDel="00000000" w:rsidR="00000000" w:rsidRPr="00000000">
        <w:rPr>
          <w:rtl w:val="0"/>
        </w:rPr>
        <w:t xml:space="preserve">This gives GoG a strong termination right even if the issues could still be corrected.</w:t>
      </w:r>
    </w:p>
    <w:p w:rsidR="00000000" w:rsidDel="00000000" w:rsidP="00000000" w:rsidRDefault="00000000" w:rsidRPr="00000000" w14:paraId="0000001F">
      <w:pPr>
        <w:numPr>
          <w:ilvl w:val="1"/>
          <w:numId w:val="1"/>
        </w:numPr>
        <w:spacing w:before="0" w:beforeAutospacing="0"/>
        <w:ind w:left="1440" w:hanging="360"/>
      </w:pPr>
      <w:r w:rsidDel="00000000" w:rsidR="00000000" w:rsidRPr="00000000">
        <w:rPr>
          <w:rtl w:val="0"/>
        </w:rPr>
        <w:t xml:space="preserve">Possible fix: Give G2Y a cure period before termination is effective.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4"/>
        </w:numPr>
        <w:spacing w:after="0" w:afterAutospacing="0"/>
        <w:ind w:left="720" w:hanging="360"/>
      </w:pPr>
      <w:r w:rsidDel="00000000" w:rsidR="00000000" w:rsidRPr="00000000">
        <w:rPr>
          <w:rtl w:val="0"/>
        </w:rPr>
        <w:t xml:space="preserve"> Intellectual Property Transfer – No Carve-Out for G2Y’s Pre-Existing IP</w:t>
      </w:r>
    </w:p>
    <w:p w:rsidR="00000000" w:rsidDel="00000000" w:rsidP="00000000" w:rsidRDefault="00000000" w:rsidRPr="00000000" w14:paraId="00000022">
      <w:pPr>
        <w:numPr>
          <w:ilvl w:val="1"/>
          <w:numId w:val="5"/>
        </w:numPr>
        <w:spacing w:after="0" w:afterAutospacing="0" w:before="0" w:beforeAutospacing="0"/>
        <w:ind w:left="1440" w:hanging="360"/>
      </w:pPr>
      <w:r w:rsidDel="00000000" w:rsidR="00000000" w:rsidRPr="00000000">
        <w:rPr>
          <w:rtl w:val="0"/>
        </w:rPr>
        <w:t xml:space="preserve">The contract states all Intellectual Property Rights in Deliverables are assigned to GoG unless otherwise specified in a Work Statement.</w:t>
      </w:r>
    </w:p>
    <w:p w:rsidR="00000000" w:rsidDel="00000000" w:rsidP="00000000" w:rsidRDefault="00000000" w:rsidRPr="00000000" w14:paraId="00000023">
      <w:pPr>
        <w:numPr>
          <w:ilvl w:val="1"/>
          <w:numId w:val="5"/>
        </w:numPr>
        <w:spacing w:after="0" w:afterAutospacing="0" w:before="0" w:beforeAutospacing="0"/>
        <w:ind w:left="1440" w:hanging="360"/>
      </w:pPr>
      <w:r w:rsidDel="00000000" w:rsidR="00000000" w:rsidRPr="00000000">
        <w:rPr>
          <w:rtl w:val="0"/>
        </w:rPr>
        <w:t xml:space="preserve">However, there is no explicit carve-out for G2Y’s pre-existing IP or reusable tools.</w:t>
      </w:r>
    </w:p>
    <w:p w:rsidR="00000000" w:rsidDel="00000000" w:rsidP="00000000" w:rsidRDefault="00000000" w:rsidRPr="00000000" w14:paraId="00000024">
      <w:pPr>
        <w:numPr>
          <w:ilvl w:val="1"/>
          <w:numId w:val="5"/>
        </w:numPr>
        <w:spacing w:before="0" w:beforeAutospacing="0"/>
        <w:ind w:left="1440" w:hanging="360"/>
      </w:pPr>
      <w:r w:rsidDel="00000000" w:rsidR="00000000" w:rsidRPr="00000000">
        <w:rPr>
          <w:rtl w:val="0"/>
        </w:rPr>
        <w:t xml:space="preserve">Possible Fix: Clarify that G2Y retains ownership of any pre-existing IP and only grants GoG a license to use 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Terminology</w:t>
      </w:r>
    </w:p>
    <w:p w:rsidR="00000000" w:rsidDel="00000000" w:rsidP="00000000" w:rsidRDefault="00000000" w:rsidRPr="00000000" w14:paraId="00000027">
      <w:pPr>
        <w:ind w:left="1440" w:firstLine="0"/>
        <w:rPr/>
      </w:pPr>
      <w:r w:rsidDel="00000000" w:rsidR="00000000" w:rsidRPr="00000000">
        <w:rPr>
          <w:rtl w:val="0"/>
        </w:rPr>
        <w:t xml:space="preserve">6.1 The contract uses “and/or” in multiple places, and while it may seem like a harmless shortcut, it may introduce unnecessary ambiguity </w:t>
      </w:r>
    </w:p>
    <w:p w:rsidR="00000000" w:rsidDel="00000000" w:rsidP="00000000" w:rsidRDefault="00000000" w:rsidRPr="00000000" w14:paraId="00000028">
      <w:pPr>
        <w:numPr>
          <w:ilvl w:val="0"/>
          <w:numId w:val="8"/>
        </w:numPr>
        <w:ind w:left="2160" w:hanging="360"/>
      </w:pPr>
      <w:r w:rsidDel="00000000" w:rsidR="00000000" w:rsidRPr="00000000">
        <w:rPr>
          <w:rtl w:val="0"/>
        </w:rPr>
        <w:t xml:space="preserve">Could be construed to mean that Deliverables must be in both the Annex AND the Work Statement?</w:t>
      </w:r>
    </w:p>
    <w:p w:rsidR="00000000" w:rsidDel="00000000" w:rsidP="00000000" w:rsidRDefault="00000000" w:rsidRPr="00000000" w14:paraId="00000029">
      <w:pPr>
        <w:ind w:left="1440" w:firstLine="0"/>
        <w:rPr/>
      </w:pPr>
      <w:r w:rsidDel="00000000" w:rsidR="00000000" w:rsidRPr="00000000">
        <w:rPr>
          <w:rtl w:val="0"/>
        </w:rPr>
        <w:t xml:space="preserve">6.2 The contract uses "Work," "Services," and "Deliverables".</w:t>
      </w:r>
    </w:p>
    <w:p w:rsidR="00000000" w:rsidDel="00000000" w:rsidP="00000000" w:rsidRDefault="00000000" w:rsidRPr="00000000" w14:paraId="0000002A">
      <w:pPr>
        <w:numPr>
          <w:ilvl w:val="0"/>
          <w:numId w:val="7"/>
        </w:numPr>
        <w:ind w:left="2160" w:hanging="360"/>
        <w:rPr>
          <w:u w:val="none"/>
        </w:rPr>
      </w:pPr>
      <w:r w:rsidDel="00000000" w:rsidR="00000000" w:rsidRPr="00000000">
        <w:rPr>
          <w:rtl w:val="0"/>
        </w:rPr>
        <w:t xml:space="preserve">Overlapping usage could result in inconsistency or ambiguity, but would be difficult to peel back all layers of the onion at this point in the negotiation process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ind w:right="360"/>
        <w:jc w:val="both"/>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Next Steps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t xml:space="preserve">Please let me know if you want me to make specific revisions around points 1-5.  </w: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We look forward to continuing to assist you with this important matter.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LEVINE LAW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169943</wp:posOffset>
            </wp:positionV>
            <wp:extent cx="1562100" cy="635000"/>
            <wp:effectExtent b="0" l="0" r="0" t="0"/>
            <wp:wrapNone/>
            <wp:docPr descr="A picture containing dark, night sky&#10;&#10;Description automatically generated" id="4" name="image2.png"/>
            <a:graphic>
              <a:graphicData uri="http://schemas.openxmlformats.org/drawingml/2006/picture">
                <pic:pic>
                  <pic:nvPicPr>
                    <pic:cNvPr descr="A picture containing dark, night sky&#10;&#10;Description automatically generated" id="0" name="image2.png"/>
                    <pic:cNvPicPr preferRelativeResize="0"/>
                  </pic:nvPicPr>
                  <pic:blipFill>
                    <a:blip r:embed="rId6"/>
                    <a:srcRect b="0" l="0" r="0" t="0"/>
                    <a:stretch>
                      <a:fillRect/>
                    </a:stretch>
                  </pic:blipFill>
                  <pic:spPr>
                    <a:xfrm>
                      <a:off x="0" y="0"/>
                      <a:ext cx="1562100" cy="635000"/>
                    </a:xfrm>
                    <a:prstGeom prst="rect"/>
                    <a:ln/>
                  </pic:spPr>
                </pic:pic>
              </a:graphicData>
            </a:graphic>
          </wp:anchor>
        </w:drawing>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2834.645669291339"/>
        </w:tabs>
        <w:spacing w:after="120" w:before="12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rFonts w:ascii="Times New Roman" w:cs="Times New Roman" w:eastAsia="Times New Roman" w:hAnsi="Times New Roman"/>
          <w:sz w:val="24"/>
          <w:szCs w:val="24"/>
        </w:rPr>
        <w:sectPr>
          <w:headerReference r:id="rId7" w:type="default"/>
          <w:headerReference r:id="rId8" w:type="first"/>
          <w:footerReference r:id="rId9" w:type="firs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Matthew AJ Levine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pPr>
      <w:r w:rsidDel="00000000" w:rsidR="00000000" w:rsidRPr="00000000">
        <w:rPr>
          <w:rtl w:val="0"/>
        </w:rPr>
      </w:r>
    </w:p>
    <w:sectPr>
      <w:headerReference r:id="rId10" w:type="default"/>
      <w:type w:val="nextPage"/>
      <w:pgSz w:h="11909" w:w="16834" w:orient="landscape"/>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drawing>
        <wp:inline distB="114300" distT="114300" distL="114300" distR="114300">
          <wp:extent cx="4714875" cy="914400"/>
          <wp:effectExtent b="0" l="0" r="0" t="0"/>
          <wp:docPr id="2" name="image1.png"/>
          <a:graphic>
            <a:graphicData uri="http://schemas.openxmlformats.org/drawingml/2006/picture">
              <pic:pic>
                <pic:nvPicPr>
                  <pic:cNvPr id="0" name="image1.png"/>
                  <pic:cNvPicPr preferRelativeResize="0"/>
                </pic:nvPicPr>
                <pic:blipFill>
                  <a:blip r:embed="rId1"/>
                  <a:srcRect b="0" l="0" r="16244" t="0"/>
                  <a:stretch>
                    <a:fillRect/>
                  </a:stretch>
                </pic:blipFill>
                <pic:spPr>
                  <a:xfrm>
                    <a:off x="0" y="0"/>
                    <a:ext cx="471487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47626</wp:posOffset>
          </wp:positionV>
          <wp:extent cx="914400" cy="914400"/>
          <wp:effectExtent b="0" l="0" r="0" t="0"/>
          <wp:wrapNone/>
          <wp:docPr id="1" name="image1.png"/>
          <a:graphic>
            <a:graphicData uri="http://schemas.openxmlformats.org/drawingml/2006/picture">
              <pic:pic>
                <pic:nvPicPr>
                  <pic:cNvPr id="0" name="image1.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drawing>
        <wp:inline distB="114300" distT="114300" distL="114300" distR="114300">
          <wp:extent cx="4695825" cy="914400"/>
          <wp:effectExtent b="0" l="0" r="0" t="0"/>
          <wp:docPr id="3" name="image1.png"/>
          <a:graphic>
            <a:graphicData uri="http://schemas.openxmlformats.org/drawingml/2006/picture">
              <pic:pic>
                <pic:nvPicPr>
                  <pic:cNvPr id="0" name="image1.png"/>
                  <pic:cNvPicPr preferRelativeResize="0"/>
                </pic:nvPicPr>
                <pic:blipFill>
                  <a:blip r:embed="rId1"/>
                  <a:srcRect b="0" l="0" r="16582" t="0"/>
                  <a:stretch>
                    <a:fillRect/>
                  </a:stretch>
                </pic:blipFill>
                <pic:spPr>
                  <a:xfrm>
                    <a:off x="0" y="0"/>
                    <a:ext cx="469582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7867650</wp:posOffset>
          </wp:positionH>
          <wp:positionV relativeFrom="paragraph">
            <wp:posOffset>72752</wp:posOffset>
          </wp:positionV>
          <wp:extent cx="914400" cy="914400"/>
          <wp:effectExtent b="0" l="0" r="0" t="0"/>
          <wp:wrapNone/>
          <wp:docPr id="5" name="image1.png"/>
          <a:graphic>
            <a:graphicData uri="http://schemas.openxmlformats.org/drawingml/2006/picture">
              <pic:pic>
                <pic:nvPicPr>
                  <pic:cNvPr id="0" name="image1.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pPr>
    <w:rPr>
      <w:rFonts w:ascii="Times New Roman" w:cs="Times New Roman" w:eastAsia="Times New Roman" w:hAnsi="Times New Roman"/>
      <w:b w:val="1"/>
      <w:bCs w:val="1"/>
      <w:color w:val="1d4771"/>
      <w:sz w:val="24"/>
      <w:szCs w:val="24"/>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360"/>
      <w:jc w:val="both"/>
    </w:pPr>
    <w:rPr>
      <w:rFonts w:ascii="Times New Roman" w:cs="Times New Roman" w:eastAsia="Times New Roman" w:hAnsi="Times New Roman"/>
      <w:b w:val="1"/>
      <w:bCs w:val="1"/>
      <w:color w:val="1d477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