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483.365478515625" w:line="240" w:lineRule="auto"/>
        <w:ind w:left="1440" w:firstLine="0"/>
        <w:rPr>
          <w:rFonts w:ascii="Arial" w:cs="Arial" w:eastAsia="Arial" w:hAnsi="Arial"/>
          <w:color w:val="000000"/>
          <w:sz w:val="22.079999923706055"/>
          <w:szCs w:val="22.079999923706055"/>
        </w:rPr>
      </w:pPr>
      <w:r w:rsidDel="00000000" w:rsidR="00000000" w:rsidRPr="00000000">
        <w:rPr>
          <w:rFonts w:ascii="Arial" w:cs="Arial" w:eastAsia="Arial" w:hAnsi="Arial"/>
          <w:color w:val="000000"/>
          <w:sz w:val="22.079999923706055"/>
          <w:szCs w:val="22.079999923706055"/>
          <w:rtl w:val="0"/>
        </w:rPr>
        <w:t xml:space="preserve">Attachment 1 Franchise Information  </w:t>
      </w:r>
    </w:p>
    <w:p w:rsidR="00000000" w:rsidDel="00000000" w:rsidP="00000000" w:rsidRDefault="00000000" w:rsidRPr="00000000" w14:paraId="00000002">
      <w:pPr>
        <w:widowControl w:val="0"/>
        <w:spacing w:before="174.4317626953125" w:line="240" w:lineRule="auto"/>
        <w:ind w:left="1440.220947265625" w:firstLine="0"/>
        <w:rPr>
          <w:rFonts w:ascii="Arial" w:cs="Arial" w:eastAsia="Arial" w:hAnsi="Arial"/>
          <w:color w:val="000000"/>
          <w:sz w:val="22.079999923706055"/>
          <w:szCs w:val="22.079999923706055"/>
        </w:rPr>
      </w:pPr>
      <w:r w:rsidDel="00000000" w:rsidR="00000000" w:rsidRPr="00000000">
        <w:rPr>
          <w:rFonts w:ascii="Arial" w:cs="Arial" w:eastAsia="Arial" w:hAnsi="Arial"/>
          <w:color w:val="000000"/>
          <w:sz w:val="22.079999923706055"/>
          <w:szCs w:val="22.079999923706055"/>
          <w:rtl w:val="0"/>
        </w:rPr>
        <w:t xml:space="preserve">Attachment 2 Pre-Authorized Debit Agreement  </w:t>
      </w:r>
    </w:p>
    <w:p w:rsidR="00000000" w:rsidDel="00000000" w:rsidP="00000000" w:rsidRDefault="00000000" w:rsidRPr="00000000" w14:paraId="00000003">
      <w:pPr>
        <w:widowControl w:val="0"/>
        <w:spacing w:before="174.4317626953125" w:line="240" w:lineRule="auto"/>
        <w:ind w:left="1440.0004577636719" w:firstLine="0"/>
        <w:rPr>
          <w:rFonts w:ascii="Arial" w:cs="Arial" w:eastAsia="Arial" w:hAnsi="Arial"/>
          <w:color w:val="000000"/>
          <w:sz w:val="22.079999923706055"/>
          <w:szCs w:val="22.079999923706055"/>
        </w:rPr>
      </w:pPr>
      <w:r w:rsidDel="00000000" w:rsidR="00000000" w:rsidRPr="00000000">
        <w:rPr>
          <w:rFonts w:ascii="Arial" w:cs="Arial" w:eastAsia="Arial" w:hAnsi="Arial"/>
          <w:color w:val="000000"/>
          <w:sz w:val="22.079999923706055"/>
          <w:szCs w:val="22.079999923706055"/>
          <w:rtl w:val="0"/>
        </w:rPr>
        <w:t xml:space="preserve">Attachment 3 Conditional Assignment </w:t>
      </w:r>
    </w:p>
    <w:p w:rsidR="00000000" w:rsidDel="00000000" w:rsidP="00000000" w:rsidRDefault="00000000" w:rsidRPr="00000000" w14:paraId="00000004">
      <w:pPr>
        <w:widowControl w:val="0"/>
        <w:spacing w:before="174.43115234375" w:line="240" w:lineRule="auto"/>
        <w:ind w:left="1440.0004577636719" w:firstLine="0"/>
        <w:rPr>
          <w:rFonts w:ascii="Arial" w:cs="Arial" w:eastAsia="Arial" w:hAnsi="Arial"/>
          <w:color w:val="000000"/>
          <w:sz w:val="22.079999923706055"/>
          <w:szCs w:val="22.079999923706055"/>
        </w:rPr>
      </w:pPr>
      <w:r w:rsidDel="00000000" w:rsidR="00000000" w:rsidRPr="00000000">
        <w:rPr>
          <w:rFonts w:ascii="Arial" w:cs="Arial" w:eastAsia="Arial" w:hAnsi="Arial"/>
          <w:color w:val="000000"/>
          <w:sz w:val="22.079999923706055"/>
          <w:szCs w:val="22.079999923706055"/>
          <w:rtl w:val="0"/>
        </w:rPr>
        <w:t xml:space="preserve">Attachment 4 Agreement and Guaranty of Related Parties  </w:t>
      </w:r>
    </w:p>
    <w:p w:rsidR="00000000" w:rsidDel="00000000" w:rsidP="00000000" w:rsidRDefault="00000000" w:rsidRPr="00000000" w14:paraId="00000005">
      <w:pPr>
        <w:widowControl w:val="0"/>
        <w:spacing w:before="176.6400146484375" w:line="240" w:lineRule="auto"/>
        <w:ind w:left="1440.0004577636719" w:firstLine="0"/>
        <w:rPr>
          <w:rFonts w:ascii="Arial" w:cs="Arial" w:eastAsia="Arial" w:hAnsi="Arial"/>
          <w:color w:val="000000"/>
          <w:sz w:val="22.079999923706055"/>
          <w:szCs w:val="22.079999923706055"/>
        </w:rPr>
      </w:pPr>
      <w:r w:rsidDel="00000000" w:rsidR="00000000" w:rsidRPr="00000000">
        <w:rPr>
          <w:rFonts w:ascii="Arial" w:cs="Arial" w:eastAsia="Arial" w:hAnsi="Arial"/>
          <w:color w:val="000000"/>
          <w:sz w:val="22.079999923706055"/>
          <w:szCs w:val="22.079999923706055"/>
          <w:rtl w:val="0"/>
        </w:rPr>
        <w:t xml:space="preserve">Attachment 5 Consent to Record </w:t>
      </w:r>
    </w:p>
    <w:p w:rsidR="00000000" w:rsidDel="00000000" w:rsidP="00000000" w:rsidRDefault="00000000" w:rsidRPr="00000000" w14:paraId="00000006">
      <w:pPr>
        <w:widowControl w:val="0"/>
        <w:spacing w:before="176.63970947265625" w:line="393.2432270050049" w:lineRule="auto"/>
        <w:ind w:left="1440.2206420898438" w:right="1272.1240234375" w:hanging="0.220184326171875"/>
        <w:rPr>
          <w:rFonts w:ascii="Arial" w:cs="Arial" w:eastAsia="Arial" w:hAnsi="Arial"/>
          <w:color w:val="000000"/>
          <w:sz w:val="22.079999923706055"/>
          <w:szCs w:val="22.079999923706055"/>
        </w:rPr>
      </w:pPr>
      <w:r w:rsidDel="00000000" w:rsidR="00000000" w:rsidRPr="00000000">
        <w:rPr>
          <w:rFonts w:ascii="Arial" w:cs="Arial" w:eastAsia="Arial" w:hAnsi="Arial"/>
          <w:color w:val="000000"/>
          <w:sz w:val="22.079999923706055"/>
          <w:szCs w:val="22.079999923706055"/>
          <w:rtl w:val="0"/>
        </w:rPr>
        <w:t xml:space="preserve">Attachment 6 Confidentiality Agreement and Ancillary Covenant Not To Compete  </w:t>
      </w:r>
    </w:p>
    <w:p w:rsidR="00000000" w:rsidDel="00000000" w:rsidP="00000000" w:rsidRDefault="00000000" w:rsidRPr="00000000" w14:paraId="00000007">
      <w:pPr>
        <w:widowControl w:val="0"/>
        <w:spacing w:before="176.63970947265625" w:line="393.2432270050049" w:lineRule="auto"/>
        <w:ind w:left="1440.2206420898438" w:right="1272.1240234375" w:hanging="0.220184326171875"/>
        <w:rPr>
          <w:rFonts w:ascii="Arial" w:cs="Arial" w:eastAsia="Arial" w:hAnsi="Arial"/>
          <w:color w:val="000000"/>
          <w:sz w:val="22.079999923706055"/>
          <w:szCs w:val="22.079999923706055"/>
        </w:rPr>
      </w:pPr>
      <w:r w:rsidDel="00000000" w:rsidR="00000000" w:rsidRPr="00000000">
        <w:rPr>
          <w:rFonts w:ascii="Arial" w:cs="Arial" w:eastAsia="Arial" w:hAnsi="Arial"/>
          <w:color w:val="000000"/>
          <w:sz w:val="22.079999923706055"/>
          <w:szCs w:val="22.079999923706055"/>
          <w:rtl w:val="0"/>
        </w:rPr>
        <w:t xml:space="preserve">Attachment 7 Additional Services Addendum </w:t>
      </w:r>
    </w:p>
    <w:p w:rsidR="00000000" w:rsidDel="00000000" w:rsidP="00000000" w:rsidRDefault="00000000" w:rsidRPr="00000000" w14:paraId="00000008">
      <w:pPr>
        <w:widowControl w:val="0"/>
        <w:spacing w:before="35.6561279296875" w:line="240" w:lineRule="auto"/>
        <w:ind w:left="1440.2206420898438" w:firstLine="0"/>
        <w:rPr>
          <w:rFonts w:ascii="Arial" w:cs="Arial" w:eastAsia="Arial" w:hAnsi="Arial"/>
          <w:color w:val="000000"/>
          <w:sz w:val="22.079999923706055"/>
          <w:szCs w:val="22.079999923706055"/>
        </w:rPr>
      </w:pPr>
      <w:r w:rsidDel="00000000" w:rsidR="00000000" w:rsidRPr="00000000">
        <w:rPr>
          <w:rFonts w:ascii="Arial" w:cs="Arial" w:eastAsia="Arial" w:hAnsi="Arial"/>
          <w:color w:val="000000"/>
          <w:sz w:val="22.079999923706055"/>
          <w:szCs w:val="22.079999923706055"/>
          <w:rtl w:val="0"/>
        </w:rPr>
        <w:t xml:space="preserve">Attachment 8 Private Duty Nursing Addendum  </w:t>
      </w:r>
    </w:p>
    <w:p w:rsidR="00000000" w:rsidDel="00000000" w:rsidP="00000000" w:rsidRDefault="00000000" w:rsidRPr="00000000" w14:paraId="00000009">
      <w:pPr>
        <w:widowControl w:val="0"/>
        <w:spacing w:before="174.432373046875" w:line="240" w:lineRule="auto"/>
        <w:ind w:left="1440.2206420898438" w:firstLine="0"/>
        <w:rPr>
          <w:rFonts w:ascii="Arial" w:cs="Arial" w:eastAsia="Arial" w:hAnsi="Arial"/>
          <w:color w:val="000000"/>
          <w:sz w:val="22.079999923706055"/>
          <w:szCs w:val="22.079999923706055"/>
        </w:rPr>
      </w:pPr>
      <w:r w:rsidDel="00000000" w:rsidR="00000000" w:rsidRPr="00000000">
        <w:rPr>
          <w:rFonts w:ascii="Arial" w:cs="Arial" w:eastAsia="Arial" w:hAnsi="Arial"/>
          <w:color w:val="000000"/>
          <w:sz w:val="22.079999923706055"/>
          <w:szCs w:val="22.079999923706055"/>
          <w:rtl w:val="0"/>
        </w:rPr>
        <w:t xml:space="preserve">Attachment 9 Data Processing Agreement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