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both"/>
        <w:rPr/>
      </w:pPr>
      <w:bookmarkStart w:colFirst="0" w:colLast="0" w:name="_l7a0lvuqj3zt" w:id="0"/>
      <w:bookmarkEnd w:id="0"/>
      <w:r w:rsidDel="00000000" w:rsidR="00000000" w:rsidRPr="00000000">
        <w:rPr>
          <w:rtl w:val="0"/>
        </w:rPr>
        <w:t xml:space="preserve">legal practice - contract law - construction - sub-contractors</w:t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sp79cxbd8dc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January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fx6xahois27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3djuclt1armz" w:id="3"/>
      <w:bookmarkEnd w:id="3"/>
      <w:r w:rsidDel="00000000" w:rsidR="00000000" w:rsidRPr="00000000">
        <w:rPr>
          <w:rtl w:val="0"/>
        </w:rPr>
        <w:t xml:space="preserve">DOCUMENT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list of ten significant legal risks associated with  sub-contractor agreements in the Ontario construction industry: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Delays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agreement may include provisions allowing the general contractor to delay payment pending approvals or the completion of certain milestones, leaving the subcontractor financially exposed.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Reductions in Agreed Price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Clauses permitting unilateral reductions in the agreed-upon price for services, often tied to alleged deficiencies or delays, can result in substantial financial losses for the subcontractor.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Strict Change Order Procedures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Formalistic and burdensome requirements for submitting and approving change orders can leave the subcontractor uncompensated for additional work or materials.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Excessively Formal Invoice Requirements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Agreements may impose stringent formatting and submission rules for invoices, leading to payment delays or outright rejections for technical non-compliance.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Unfair Liquidated Damages Provisions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subcontractor may be exposed to disproportionate liquidated damages for delays or defects, even when they are beyond the subcontractor's control.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Pass-Through Liability for General Contractor Issues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Provisions may make the subcontractor liable for delays, defects, or disputes caused by the general contractor, other subcontractors, or external factors.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Broad Indemnity Obligations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agreement may require the subcontractor to indemnify the general contractor for a wide range of claims, including those arising from the general contractor’s own negligence.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Retention of Payment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Excessive holdbacks or retainage provisions beyond those required by the Ontario Construction Act can restrict the subcontractor’s cash flow and working capital.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Unilateral Termination Rights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general contractor may reserve the right to terminate the agreement without cause, leaving the subcontractor with unrecoverable costs for mobilization, materials, and lost business.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Dispute Resolution Favoring the General Contractor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Arbitration or dispute resolution clauses may favor the general contractor by requiring disputes to be resolved in forums or under rules that are costly or inaccessible.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ind w:left="0" w:firstLine="0"/>
      <w:jc w:val="left"/>
      <w:rPr>
        <w:rFonts w:ascii="Times New Roman" w:cs="Times New Roman" w:eastAsia="Times New Roman" w:hAnsi="Times New Roman"/>
        <w:color w:val="666666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666666"/>
        <w:sz w:val="20"/>
        <w:szCs w:val="20"/>
      </w:rPr>
      <w:drawing>
        <wp:inline distB="114300" distT="114300" distL="114300" distR="114300">
          <wp:extent cx="1820862" cy="182086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0862" cy="18208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